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5199380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635" r="635" b="0"/>
                <wp:wrapNone/>
                <wp:docPr id="1" name="Поле 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1312;o:allowoverlap:true;o:allowincell:true;mso-position-horizontal-relative:text;margin-left:409.4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2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3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5285105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635" r="635" b="0"/>
                <wp:wrapNone/>
                <wp:docPr id="4" name="Поле 4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0288;o:allowoverlap:true;o:allowincell:true;mso-position-horizontal-relative:text;margin-left:416.1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5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30882153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18844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ind w:firstLine="0"/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шестое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ind w:firstLine="0"/>
        <w:jc w:val="left"/>
        <w:spacing w:lineRule="auto" w:line="240" w:after="0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26 мая 2026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  года       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549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sz w:val="26"/>
        </w:rPr>
      </w:r>
      <w:r>
        <w:rPr>
          <w:rFonts w:ascii="Times New Roman" w:hAnsi="Times New Roman" w:cs="Times New Roman" w:eastAsia="Times New Roman"/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</w:p>
    <w:p>
      <w:pPr>
        <w:pStyle w:val="816"/>
        <w:jc w:val="left"/>
        <w:rPr>
          <w:sz w:val="24"/>
          <w:highlight w:val="none"/>
        </w:rPr>
      </w:pPr>
      <w:r>
        <w:rPr>
          <w:sz w:val="24"/>
          <w:highlight w:val="none"/>
        </w:rPr>
      </w:r>
      <w:r>
        <w:rPr>
          <w:sz w:val="24"/>
          <w:highlight w:val="none"/>
        </w:rPr>
      </w:r>
      <w:r/>
    </w:p>
    <w:tbl>
      <w:tblPr>
        <w:tblStyle w:val="666"/>
        <w:tblW w:w="0" w:type="auto"/>
        <w:tblLayout w:type="fixed"/>
        <w:tblLook w:val="04A0" w:firstRow="1" w:lastRow="0" w:firstColumn="1" w:lastColumn="0" w:noHBand="0" w:noVBand="1"/>
      </w:tblPr>
      <w:tblGrid>
        <w:gridCol w:w="5102"/>
        <w:gridCol w:w="4253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jc w:val="both"/>
              <w:rPr>
                <w:rFonts w:ascii="PT Serif" w:hAnsi="PT Serif" w:cs="PT Serif" w:eastAsia="PT Serif"/>
                <w:b/>
                <w:sz w:val="24"/>
                <w:highlight w:val="none"/>
              </w:rPr>
            </w:pP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Об утверждении Порядка рассмотрения кандидатур на должность председателя Контрольно-счетной комиссии Новооскольского муниципального округа Белгородской области</w:t>
            </w: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253" w:type="dxa"/>
            <w:textDirection w:val="lrTb"/>
            <w:noWrap w:val="false"/>
          </w:tcPr>
          <w:p>
            <w:pPr>
              <w:rPr>
                <w:rFonts w:ascii="PT Serif" w:hAnsi="PT Serif" w:cs="PT Serif" w:eastAsia="PT Serif"/>
                <w:sz w:val="24"/>
                <w:highlight w:val="none"/>
              </w:rPr>
            </w:pPr>
            <w:r>
              <w:rPr>
                <w:rFonts w:ascii="PT Serif" w:hAnsi="PT Serif" w:cs="PT Serif" w:eastAsia="PT Serif"/>
                <w:sz w:val="24"/>
                <w:highlight w:val="none"/>
              </w:rPr>
            </w:r>
            <w:r>
              <w:rPr>
                <w:rFonts w:ascii="PT Serif" w:hAnsi="PT Serif" w:cs="PT Serif" w:eastAsia="PT Serif"/>
                <w:sz w:val="24"/>
                <w:highlight w:val="none"/>
              </w:rPr>
            </w:r>
            <w:r/>
          </w:p>
        </w:tc>
      </w:tr>
    </w:tbl>
    <w:p>
      <w:r/>
      <w:r/>
    </w:p>
    <w:p>
      <w:pPr>
        <w:contextualSpacing w:val="true"/>
        <w:jc w:val="both"/>
        <w:spacing w:lineRule="auto" w:line="240" w:after="0" w:before="0"/>
        <w:rPr>
          <w:sz w:val="24"/>
        </w:rPr>
        <w:suppressLineNumbers w:val="0"/>
      </w:pPr>
      <w:r>
        <w:rPr>
          <w:sz w:val="24"/>
        </w:rPr>
      </w:r>
      <w:r>
        <w:rPr>
          <w:sz w:val="24"/>
        </w:rPr>
      </w:r>
      <w:r/>
    </w:p>
    <w:p>
      <w:pPr>
        <w:rPr>
          <w:rFonts w:ascii="PT Serif" w:hAnsi="PT Serif" w:cs="PT Serif" w:eastAsia="PT Serif"/>
          <w:b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Руководствуясь Федеральным </w:t>
      </w:r>
      <w:hyperlink r:id="rId10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законом</w:t>
        </w:r>
      </w:hyperlink>
      <w:r>
        <w:rPr>
          <w:rFonts w:ascii="PT Serif" w:hAnsi="PT Serif" w:cs="PT Serif" w:eastAsia="PT Serif"/>
          <w:sz w:val="24"/>
        </w:rPr>
        <w:t xml:space="preserve"> от 7 февраля 2011 года № 6-ФЗ                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hyperlink r:id="rId11" w:tooltip="Решение Муниципального совета муниципального района &quot;Вейделевский район&quot; Белгородской обл. от 26.11.2021 N 5 (ред. от 30.10.2025) &quot;О Контрольно-счетной комиссии муниципального района &quot;Вейделевский район&quot; Белгородской области&quot; (вместе с &quot;Положением о Контрольно-счетной комиссии муниципального района &quot;Вейделевский район&quot; Белгородской области&quot;) {КонсультантПлюс}" w:history="1">
        <w:r>
          <w:rPr>
            <w:rFonts w:ascii="PT Serif" w:hAnsi="PT Serif" w:cs="PT Serif" w:eastAsia="PT Serif"/>
            <w:color w:val="0000FF"/>
            <w:sz w:val="24"/>
          </w:rPr>
        </w:r>
        <w:r>
          <w:rPr>
            <w:rFonts w:ascii="PT Serif" w:hAnsi="PT Serif" w:cs="PT Serif" w:eastAsia="PT Serif"/>
            <w:sz w:val="24"/>
          </w:rPr>
          <w:t xml:space="preserve">статьей </w:t>
        </w:r>
        <w:r>
          <w:rPr>
            <w:rFonts w:ascii="PT Serif" w:hAnsi="PT Serif" w:cs="PT Serif" w:eastAsia="PT Serif"/>
            <w:sz w:val="24"/>
          </w:rPr>
          <w:t xml:space="preserve">33 Устава Новооскольского муниципального округа Белгородской области, </w:t>
        </w:r>
        <w:r>
          <w:rPr>
            <w:rFonts w:ascii="PT Serif" w:hAnsi="PT Serif" w:cs="PT Serif" w:eastAsia="PT Serif"/>
            <w:sz w:val="24"/>
          </w:rPr>
        </w:r>
        <w:r>
          <w:rPr>
            <w:rFonts w:ascii="PT Serif" w:hAnsi="PT Serif" w:cs="PT Serif" w:eastAsia="PT Serif"/>
            <w:color w:val="0000FF"/>
            <w:sz w:val="24"/>
          </w:rPr>
          <w:t xml:space="preserve">ре</w:t>
        </w:r>
      </w:hyperlink>
      <w:r>
        <w:rPr>
          <w:rFonts w:ascii="PT Serif" w:hAnsi="PT Serif" w:cs="PT Serif" w:eastAsia="PT Serif"/>
          <w:sz w:val="24"/>
          <w:szCs w:val="27"/>
        </w:rPr>
        <w:t xml:space="preserve">шением Совета депутатов Новооскольского муниципального округа от 24 сентября 2024 года № 158 «Об утверждении </w:t>
      </w:r>
      <w:r>
        <w:rPr>
          <w:rFonts w:ascii="PT Serif" w:hAnsi="PT Serif" w:cs="PT Serif" w:eastAsia="PT Serif"/>
          <w:sz w:val="24"/>
          <w:szCs w:val="27"/>
        </w:rPr>
        <w:t xml:space="preserve">Положения о контрольно-счетной комиссии Новооскольского муниципального округа Белгородской области»,</w:t>
      </w:r>
      <w:r>
        <w:rPr>
          <w:rFonts w:ascii="PT Serif" w:hAnsi="PT Serif" w:cs="PT Serif" w:eastAsia="PT Serif"/>
          <w:b/>
          <w:sz w:val="24"/>
        </w:rPr>
        <w:t xml:space="preserve"> Совет депутатов Новооскольского муниципального округа Белгородской области р е ш и л:</w:t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PT Serif" w:hAnsi="PT Serif" w:cs="PT Serif" w:eastAsia="PT Serif"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b/>
          <w:sz w:val="24"/>
        </w:rPr>
      </w:r>
      <w:r>
        <w:rPr>
          <w:rFonts w:ascii="PT Serif" w:hAnsi="PT Serif" w:cs="PT Serif" w:eastAsia="PT Serif"/>
          <w:sz w:val="24"/>
        </w:rPr>
        <w:t xml:space="preserve">1. Утвердить </w:t>
      </w:r>
      <w:hyperlink w:tooltip="ПОРЯДОК" w:anchor="P37" w:history="1">
        <w:r>
          <w:rPr>
            <w:rFonts w:ascii="PT Serif" w:hAnsi="PT Serif" w:cs="PT Serif" w:eastAsia="PT Serif"/>
            <w:color w:val="0000FF"/>
            <w:sz w:val="24"/>
          </w:rPr>
          <w:t xml:space="preserve">Порядок</w:t>
        </w:r>
      </w:hyperlink>
      <w:r>
        <w:rPr>
          <w:rFonts w:ascii="PT Serif" w:hAnsi="PT Serif" w:cs="PT Serif" w:eastAsia="PT Serif"/>
          <w:sz w:val="24"/>
        </w:rPr>
        <w:t xml:space="preserve"> рассмотрения кандидатур на должности председателя  Контрольно-счетной комиссии Новооскольского муниципального округа Белгородской области (прилагается).</w:t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  <w:sz w:val="24"/>
          <w:szCs w:val="27"/>
          <w:highlight w:val="none"/>
          <w:lang w:eastAsia="ru-RU"/>
        </w:rPr>
        <w:t xml:space="preserve">2. Признать утратившим силу решение Муниципального совета  Новооскольского района от 29 мая 2012 года № 548 «О порядке рассмотрения и утверждения кандидатур на должность председателя контрольно-ревизионной комиссии Новооскольского района».</w:t>
      </w:r>
      <w:r>
        <w:rPr>
          <w:rFonts w:ascii="PT Serif" w:hAnsi="PT Serif" w:cs="PT Serif" w:eastAsia="PT Serif"/>
          <w:sz w:val="24"/>
          <w:highlight w:val="none"/>
        </w:rPr>
      </w:r>
      <w:r/>
    </w:p>
    <w:p>
      <w:pPr>
        <w:rPr>
          <w:rFonts w:ascii="PT Serif" w:hAnsi="PT Serif" w:cs="PT Serif" w:eastAsia="PT Serif"/>
          <w:sz w:val="24"/>
          <w:szCs w:val="27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  <w:szCs w:val="27"/>
          <w:lang w:eastAsia="ru-RU"/>
        </w:rPr>
        <w:t xml:space="preserve">3. Настоящее решение опубликовать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в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сетевом издании «Вперё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д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 </w:t>
      </w:r>
      <w:r>
        <w:rPr>
          <w:rFonts w:ascii="PT Serif" w:hAnsi="PT Serif" w:cs="PT Serif" w:eastAsia="PT Serif"/>
          <w:color w:val="000000" w:themeColor="text1"/>
          <w:sz w:val="24"/>
          <w:szCs w:val="27"/>
          <w:lang w:eastAsia="ru-RU"/>
        </w:rPr>
        <w:t xml:space="preserve">Новооскольская</w:t>
      </w:r>
      <w:r>
        <w:rPr>
          <w:rFonts w:ascii="PT Serif" w:hAnsi="PT Serif" w:cs="PT Serif" w:eastAsia="PT Serif"/>
          <w:color w:val="000000" w:themeColor="text1"/>
          <w:sz w:val="24"/>
          <w:szCs w:val="27"/>
          <w:lang w:eastAsia="ru-RU"/>
        </w:rPr>
        <w:t xml:space="preserve"> газета</w:t>
      </w:r>
      <w:r>
        <w:rPr>
          <w:rFonts w:ascii="PT Serif" w:hAnsi="PT Serif" w:cs="PT Serif" w:eastAsia="PT Serif"/>
          <w:color w:val="000000" w:themeColor="text1"/>
          <w:sz w:val="24"/>
          <w:szCs w:val="27"/>
          <w:lang w:eastAsia="ru-RU"/>
        </w:rPr>
        <w:t xml:space="preserve">»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(no-vpered.ru) и разместить на официальном сайте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органов местного самоуправления </w:t>
      </w:r>
      <w:r>
        <w:rPr>
          <w:rFonts w:ascii="PT Serif" w:hAnsi="PT Serif" w:cs="PT Serif" w:eastAsia="PT Serif"/>
          <w:sz w:val="24"/>
          <w:szCs w:val="27"/>
          <w:lang w:eastAsia="ru-RU"/>
        </w:rPr>
        <w:t xml:space="preserve">Новооскольского муниципального округа        (novyjoskol-r31.gosweb.gosuslugi.ru) в информационно-телекоммуникационной сети «Интернет».</w:t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PT Serif" w:hAnsi="PT Serif" w:cs="PT Serif" w:eastAsia="PT Serif"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  <w:szCs w:val="28"/>
          <w:lang w:val="ru-RU"/>
        </w:rPr>
        <w:t xml:space="preserve">4. Настоящее решение вступает в силу после дня его официального опубликова</w:t>
      </w:r>
      <w:r>
        <w:rPr>
          <w:rFonts w:ascii="PT Serif" w:hAnsi="PT Serif" w:cs="PT Serif" w:eastAsia="PT Serif"/>
          <w:sz w:val="24"/>
          <w:szCs w:val="28"/>
          <w:lang w:val="ru-RU"/>
        </w:rPr>
        <w:t xml:space="preserve">ния.</w:t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PT Serif" w:hAnsi="PT Serif" w:cs="PT Serif" w:eastAsia="PT Serif"/>
          <w:sz w:val="24"/>
          <w:szCs w:val="28"/>
        </w:rPr>
        <w:suppressLineNumbers w:val="0"/>
      </w:pPr>
      <w:r>
        <w:rPr>
          <w:rFonts w:ascii="PT Serif" w:hAnsi="PT Serif" w:cs="PT Serif" w:eastAsia="PT Serif"/>
          <w:sz w:val="24"/>
          <w:szCs w:val="28"/>
          <w:highlight w:val="none"/>
          <w:lang w:val="ru-RU"/>
        </w:rPr>
      </w:r>
      <w:r>
        <w:rPr>
          <w:rFonts w:ascii="PT Serif" w:hAnsi="PT Serif" w:cs="PT Serif" w:eastAsia="PT Serif"/>
          <w:sz w:val="24"/>
          <w:szCs w:val="28"/>
          <w:highlight w:val="none"/>
          <w:lang w:val="ru-RU"/>
        </w:rPr>
      </w:r>
      <w:r/>
    </w:p>
    <w:p>
      <w:pPr>
        <w:pStyle w:val="821"/>
        <w:ind w:firstLine="709"/>
        <w:jc w:val="both"/>
        <w:rPr>
          <w:rFonts w:ascii="PT Serif" w:hAnsi="PT Serif" w:cs="PT Serif" w:eastAsia="PT Serif"/>
          <w:sz w:val="24"/>
          <w:highlight w:val="none"/>
        </w:rPr>
      </w:pPr>
      <w:r>
        <w:rPr>
          <w:rFonts w:ascii="PT Serif" w:hAnsi="PT Serif" w:cs="PT Serif" w:eastAsia="PT Serif"/>
          <w:sz w:val="24"/>
          <w:szCs w:val="28"/>
          <w:lang w:val="ru-RU"/>
        </w:rPr>
        <w:t xml:space="preserve">5. </w:t>
      </w:r>
      <w:r>
        <w:rPr>
          <w:rFonts w:ascii="PT Serif" w:hAnsi="PT Serif" w:cs="PT Serif" w:eastAsia="PT Serif"/>
          <w:sz w:val="24"/>
          <w:szCs w:val="28"/>
        </w:rPr>
        <w:t xml:space="preserve"> Контроль за исполнением настоящего решения возложить на постоянную комиссию Совета депутатов Новооскольского </w:t>
      </w:r>
      <w:r>
        <w:rPr>
          <w:rFonts w:ascii="PT Serif" w:hAnsi="PT Serif" w:cs="PT Serif" w:eastAsia="PT Serif"/>
          <w:sz w:val="24"/>
          <w:szCs w:val="28"/>
        </w:rPr>
        <w:t xml:space="preserve">муниципального</w:t>
      </w:r>
      <w:r>
        <w:rPr>
          <w:rFonts w:ascii="PT Serif" w:hAnsi="PT Serif" w:cs="PT Serif" w:eastAsia="PT Serif"/>
          <w:sz w:val="24"/>
          <w:szCs w:val="28"/>
        </w:rPr>
        <w:t xml:space="preserve"> округа</w:t>
      </w:r>
      <w:r>
        <w:rPr>
          <w:rFonts w:ascii="PT Serif" w:hAnsi="PT Serif" w:cs="PT Serif" w:eastAsia="PT Serif"/>
          <w:sz w:val="24"/>
          <w:szCs w:val="28"/>
        </w:rPr>
        <w:t xml:space="preserve"> Белгородской области</w:t>
      </w:r>
      <w:r>
        <w:rPr>
          <w:rFonts w:ascii="PT Serif" w:hAnsi="PT Serif" w:cs="PT Serif" w:eastAsia="PT Serif"/>
          <w:sz w:val="24"/>
          <w:szCs w:val="28"/>
        </w:rPr>
        <w:t xml:space="preserve"> по </w:t>
      </w:r>
      <w:r>
        <w:rPr>
          <w:rFonts w:ascii="PT Serif" w:hAnsi="PT Serif" w:cs="PT Serif" w:eastAsia="PT Serif"/>
          <w:sz w:val="24"/>
          <w:szCs w:val="28"/>
        </w:rPr>
        <w:t xml:space="preserve">местному самоуправлению, нормативно-правовой деятельности и общественному правопорядку (Локтионов А.С.).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21"/>
        <w:jc w:val="both"/>
        <w:rPr>
          <w:rFonts w:ascii="PT Serif" w:hAnsi="PT Serif" w:cs="PT Serif" w:eastAsia="PT Serif"/>
          <w:sz w:val="24"/>
        </w:rPr>
      </w:pPr>
      <w:r>
        <w:rPr>
          <w:rFonts w:ascii="PT Serif" w:hAnsi="PT Serif" w:cs="PT Serif" w:eastAsia="PT Serif"/>
          <w:sz w:val="24"/>
          <w:szCs w:val="28"/>
        </w:rPr>
      </w:r>
      <w:r>
        <w:rPr>
          <w:rFonts w:ascii="PT Serif" w:hAnsi="PT Serif" w:cs="PT Serif" w:eastAsia="PT Serif"/>
          <w:sz w:val="24"/>
        </w:rPr>
      </w:r>
      <w:r/>
    </w:p>
    <w:p>
      <w:pPr>
        <w:rPr>
          <w:rFonts w:ascii="PT Serif" w:hAnsi="PT Serif" w:cs="PT Serif" w:eastAsia="PT Serif"/>
          <w:sz w:val="24"/>
          <w:szCs w:val="28"/>
        </w:rPr>
        <w:suppressLineNumbers w:val="0"/>
      </w:pPr>
      <w:r>
        <w:rPr>
          <w:rFonts w:ascii="PT Serif" w:hAnsi="PT Serif" w:cs="PT Serif" w:eastAsia="PT Serif"/>
          <w:sz w:val="24"/>
        </w:rPr>
      </w:r>
      <w:r/>
    </w:p>
    <w:p>
      <w:pPr>
        <w:ind w:left="0" w:right="0" w:firstLine="0"/>
        <w:jc w:val="left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b/>
          <w:sz w:val="24"/>
          <w:szCs w:val="28"/>
        </w:rPr>
        <w:t xml:space="preserve">        Председатель Совета депутатов </w:t>
      </w:r>
      <w:r>
        <w:rPr>
          <w:rFonts w:ascii="PT Serif" w:hAnsi="PT Serif" w:cs="PT Serif" w:eastAsia="PT Serif"/>
          <w:sz w:val="24"/>
        </w:rPr>
      </w:r>
      <w:r/>
    </w:p>
    <w:p>
      <w:pPr>
        <w:ind w:left="0" w:right="0" w:firstLin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b/>
          <w:sz w:val="24"/>
          <w:szCs w:val="28"/>
        </w:rPr>
        <w:t xml:space="preserve">Новооскольского муниципального округа                                               А.И. Попова</w:t>
      </w:r>
      <w:r>
        <w:rPr>
          <w:rFonts w:ascii="PT Serif" w:hAnsi="PT Serif" w:cs="PT Serif" w:eastAsia="PT Serif"/>
          <w:sz w:val="24"/>
        </w:rPr>
      </w:r>
      <w:r/>
    </w:p>
    <w:p>
      <w:pPr>
        <w:suppressLineNumbers w:val="0"/>
      </w:pPr>
      <w:r>
        <w:rPr>
          <w:rFonts w:ascii="PT Serif" w:hAnsi="PT Serif" w:cs="PT Serif" w:eastAsia="PT Serif"/>
          <w:b/>
          <w:sz w:val="24"/>
          <w:szCs w:val="28"/>
        </w:rPr>
        <w:t xml:space="preserve">                 </w:t>
      </w:r>
      <w:r>
        <w:rPr>
          <w:rFonts w:ascii="PT Serif" w:hAnsi="PT Serif" w:cs="PT Serif" w:eastAsia="PT Serif"/>
          <w:b/>
          <w:sz w:val="24"/>
          <w:szCs w:val="28"/>
        </w:rPr>
        <w:tab/>
      </w:r>
      <w:r>
        <w:rPr>
          <w:rFonts w:ascii="PT Serif" w:hAnsi="PT Serif" w:cs="PT Serif" w:eastAsia="PT Serif"/>
          <w:b/>
          <w:sz w:val="24"/>
          <w:szCs w:val="28"/>
        </w:rPr>
        <w:tab/>
      </w:r>
      <w:r>
        <w:rPr>
          <w:rFonts w:ascii="PT Serif" w:hAnsi="PT Serif" w:cs="PT Serif" w:eastAsia="PT Serif"/>
          <w:b/>
          <w:sz w:val="24"/>
          <w:szCs w:val="28"/>
        </w:rPr>
        <w:tab/>
      </w:r>
      <w:r>
        <w:rPr>
          <w:rFonts w:ascii="PT Serif" w:hAnsi="PT Serif" w:cs="PT Serif" w:eastAsia="PT Serif"/>
          <w:b/>
          <w:sz w:val="24"/>
          <w:szCs w:val="28"/>
        </w:rPr>
        <w:tab/>
        <w:t xml:space="preserve">                   </w:t>
      </w:r>
      <w:r>
        <w:rPr>
          <w:rFonts w:ascii="PT Serif" w:hAnsi="PT Serif" w:cs="PT Serif" w:eastAsia="PT Serif"/>
          <w:b/>
          <w:sz w:val="24"/>
          <w:szCs w:val="28"/>
        </w:rPr>
        <w:t xml:space="preserve">    </w:t>
      </w:r>
      <w:r>
        <w:br w:type="page"/>
      </w:r>
      <w:r>
        <w:rPr>
          <w:sz w:val="24"/>
        </w:rPr>
      </w:r>
      <w:r/>
    </w:p>
    <w:tbl>
      <w:tblPr>
        <w:tblStyle w:val="820"/>
        <w:tblW w:w="9705" w:type="dxa"/>
        <w:tblInd w:w="149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103"/>
        <w:gridCol w:w="5602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103" w:type="dxa"/>
            <w:textDirection w:val="lrTb"/>
            <w:noWrap w:val="false"/>
          </w:tcPr>
          <w:p>
            <w:r>
              <w:rPr>
                <w:sz w:val="26"/>
              </w:rPr>
            </w:r>
            <w:r>
              <w:rPr>
                <w:sz w:val="2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602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6"/>
                <w:lang w:eastAsia="ru-RU"/>
              </w:rPr>
              <w:t xml:space="preserve">Приложение</w:t>
            </w:r>
            <w:r>
              <w:rPr>
                <w:b/>
                <w:sz w:val="24"/>
              </w:rPr>
            </w:r>
            <w:r/>
          </w:p>
          <w:p>
            <w:pPr>
              <w:ind w:left="0" w:righ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6"/>
              </w:rPr>
            </w:r>
            <w:r>
              <w:rPr>
                <w:b/>
                <w:sz w:val="24"/>
              </w:rPr>
            </w:r>
            <w:r/>
          </w:p>
          <w:p>
            <w:pPr>
              <w:ind w:left="0" w:righ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6"/>
                <w:lang w:eastAsia="ru-RU"/>
              </w:rPr>
              <w:t xml:space="preserve">УТВЕРЖДЕНО</w:t>
            </w:r>
            <w:r>
              <w:rPr>
                <w:b/>
                <w:sz w:val="24"/>
              </w:rPr>
            </w:r>
            <w:r/>
          </w:p>
          <w:p>
            <w:pPr>
              <w:ind w:left="0" w:righ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6"/>
                <w:lang w:eastAsia="ru-RU"/>
              </w:rPr>
              <w:t xml:space="preserve">решением Совета депутатов   Новооскольского муниципального округа</w:t>
            </w:r>
            <w:r>
              <w:rPr>
                <w:b/>
                <w:sz w:val="24"/>
              </w:rPr>
            </w:r>
            <w:r/>
          </w:p>
          <w:p>
            <w:pPr>
              <w:ind w:left="0" w:righ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6"/>
                <w:lang w:eastAsia="ru-RU"/>
              </w:rPr>
              <w:t xml:space="preserve">Белгородской области</w:t>
            </w:r>
            <w:r>
              <w:rPr>
                <w:b/>
                <w:sz w:val="24"/>
              </w:rPr>
            </w:r>
            <w:r/>
          </w:p>
          <w:p>
            <w:pPr>
              <w:ind w:left="0" w:right="0" w:firstLine="0"/>
              <w:jc w:val="center"/>
              <w:rPr>
                <w:sz w:val="24"/>
              </w:rPr>
            </w:pPr>
            <w:r>
              <w:rPr>
                <w:b/>
                <w:sz w:val="24"/>
                <w:szCs w:val="26"/>
                <w:lang w:eastAsia="ru-RU"/>
              </w:rPr>
              <w:t xml:space="preserve">от _26 мая  2026</w:t>
            </w:r>
            <w:r>
              <w:rPr>
                <w:b/>
                <w:sz w:val="24"/>
                <w:szCs w:val="26"/>
                <w:lang w:eastAsia="ru-RU"/>
              </w:rPr>
              <w:t xml:space="preserve">  года  № 549</w:t>
            </w:r>
            <w:r/>
          </w:p>
        </w:tc>
      </w:tr>
    </w:tbl>
    <w:p>
      <w:r>
        <w:rPr>
          <w:sz w:val="24"/>
        </w:rPr>
      </w:r>
      <w:r/>
    </w:p>
    <w:p>
      <w:r>
        <w:rPr>
          <w:sz w:val="24"/>
        </w:rPr>
      </w:r>
      <w:r/>
    </w:p>
    <w:p>
      <w:pPr>
        <w:contextualSpacing w:val="true"/>
        <w:ind w:left="0" w:right="0" w:firstLine="0"/>
        <w:jc w:val="center"/>
        <w:spacing w:lineRule="auto" w:line="240" w:after="0" w:before="0"/>
        <w:rPr>
          <w:rFonts w:ascii="PT Serif" w:hAnsi="PT Serif" w:cs="PT Serif" w:eastAsia="PT Serif"/>
          <w:b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b/>
          <w:sz w:val="24"/>
          <w:highlight w:val="none"/>
        </w:rPr>
        <w:t xml:space="preserve">Порядок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ind w:left="0" w:right="0" w:firstLine="0"/>
        <w:jc w:val="center"/>
        <w:spacing w:lineRule="auto" w:line="240" w:after="0" w:before="0"/>
        <w:rPr>
          <w:rFonts w:ascii="PT Serif" w:hAnsi="PT Serif" w:cs="PT Serif" w:eastAsia="PT Serif"/>
          <w:b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b/>
          <w:sz w:val="24"/>
          <w:highlight w:val="none"/>
        </w:rPr>
        <w:t xml:space="preserve"> рассмотрения кандидатур 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ind w:left="0" w:right="0" w:firstLine="0"/>
        <w:jc w:val="center"/>
        <w:spacing w:lineRule="auto" w:line="240" w:after="0" w:before="0"/>
        <w:rPr>
          <w:rFonts w:ascii="PT Serif" w:hAnsi="PT Serif" w:cs="PT Serif" w:eastAsia="PT Serif"/>
          <w:b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b/>
          <w:sz w:val="24"/>
          <w:highlight w:val="none"/>
        </w:rPr>
        <w:t xml:space="preserve">на должность председателя Контрольно-счетной комиссии </w:t>
      </w:r>
      <w:r/>
    </w:p>
    <w:p>
      <w:pPr>
        <w:contextualSpacing w:val="true"/>
        <w:ind w:left="0" w:right="0" w:firstLine="0"/>
        <w:jc w:val="center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b/>
          <w:sz w:val="24"/>
          <w:highlight w:val="none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ind w:left="0" w:right="0" w:firstLine="0"/>
        <w:jc w:val="center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center"/>
        <w:spacing w:lineRule="auto" w:line="240" w:after="0" w:before="0"/>
        <w:rPr>
          <w:rFonts w:ascii="PT Serif" w:hAnsi="PT Serif" w:cs="PT Serif" w:eastAsia="PT Serif"/>
          <w:b/>
          <w:sz w:val="24"/>
        </w:rPr>
        <w:outlineLvl w:val="1"/>
        <w:suppressLineNumbers w:val="0"/>
      </w:pPr>
      <w:r>
        <w:rPr>
          <w:rFonts w:ascii="PT Serif" w:hAnsi="PT Serif" w:cs="PT Serif" w:eastAsia="PT Serif"/>
          <w:b/>
          <w:sz w:val="24"/>
        </w:rPr>
        <w:t xml:space="preserve">1. Общие положения</w:t>
      </w:r>
      <w:r>
        <w:rPr>
          <w:rFonts w:ascii="PT Serif" w:hAnsi="PT Serif" w:cs="PT Serif" w:eastAsia="PT Serif"/>
          <w:b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b/>
          <w:sz w:val="24"/>
        </w:rPr>
        <w:suppressLineNumbers w:val="0"/>
      </w:pPr>
      <w:r>
        <w:rPr>
          <w:rFonts w:ascii="PT Serif" w:hAnsi="PT Serif" w:cs="PT Serif" w:eastAsia="PT Serif"/>
          <w:b/>
          <w:sz w:val="24"/>
        </w:rPr>
      </w:r>
      <w:r>
        <w:rPr>
          <w:rFonts w:ascii="PT Serif" w:hAnsi="PT Serif" w:cs="PT Serif" w:eastAsia="PT Serif"/>
          <w:b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1.1. Порядок рассмотрения кандидатур на должности председателя  Контрольно-счетной комиссии Новооскольского муниципального округа Белгородс</w:t>
      </w:r>
      <w:r>
        <w:rPr>
          <w:rFonts w:ascii="PT Serif" w:hAnsi="PT Serif" w:cs="PT Serif" w:eastAsia="PT Serif"/>
          <w:sz w:val="24"/>
        </w:rPr>
        <w:t xml:space="preserve">кой области (далее - Порядок) разработан в целях рассмотрения кандидатур на должность председателя  Контрольно-счетной</w:t>
      </w:r>
      <w:r>
        <w:rPr>
          <w:rFonts w:ascii="PT Serif" w:hAnsi="PT Serif" w:cs="PT Serif" w:eastAsia="PT Serif"/>
          <w:sz w:val="24"/>
        </w:rPr>
        <w:t xml:space="preserve"> комиссии Новооскольского муниципального округа Белгородс</w:t>
      </w:r>
      <w:r>
        <w:rPr>
          <w:rFonts w:ascii="PT Serif" w:hAnsi="PT Serif" w:cs="PT Serif" w:eastAsia="PT Serif"/>
          <w:sz w:val="24"/>
        </w:rPr>
        <w:t xml:space="preserve">кой области </w:t>
      </w:r>
      <w:r>
        <w:rPr>
          <w:rFonts w:ascii="PT Serif" w:hAnsi="PT Serif" w:cs="PT Serif" w:eastAsia="PT Serif"/>
          <w:sz w:val="24"/>
        </w:rPr>
        <w:t xml:space="preserve"> (далее - Контрольно-счетная комиссия).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1.2. При проведении отбора кандидатур на должности председателя  </w:t>
      </w:r>
      <w:r>
        <w:rPr>
          <w:rFonts w:ascii="PT Serif" w:hAnsi="PT Serif" w:cs="PT Serif" w:eastAsia="PT Serif"/>
          <w:sz w:val="24"/>
        </w:rPr>
        <w:t xml:space="preserve">Контрольно-счетной</w:t>
      </w:r>
      <w:r>
        <w:rPr>
          <w:rFonts w:ascii="PT Serif" w:hAnsi="PT Serif" w:cs="PT Serif" w:eastAsia="PT Serif"/>
          <w:sz w:val="24"/>
        </w:rPr>
        <w:t xml:space="preserve"> комиссии </w:t>
      </w:r>
      <w:r>
        <w:rPr>
          <w:rFonts w:ascii="PT Serif" w:hAnsi="PT Serif" w:cs="PT Serif" w:eastAsia="PT Serif"/>
          <w:sz w:val="24"/>
        </w:rPr>
        <w:t xml:space="preserve">гарантируется равенство прав кандидатов в соответствии с </w:t>
      </w:r>
      <w:hyperlink r:id="rId1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Конституцией</w:t>
        </w:r>
      </w:hyperlink>
      <w:r>
        <w:rPr>
          <w:rFonts w:ascii="PT Serif" w:hAnsi="PT Serif" w:cs="PT Serif" w:eastAsia="PT Serif"/>
          <w:sz w:val="24"/>
        </w:rPr>
        <w:t xml:space="preserve"> Российской Федерации, Федеральным </w:t>
      </w:r>
      <w:hyperlink r:id="rId1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законом</w:t>
        </w:r>
      </w:hyperlink>
      <w:r>
        <w:rPr>
          <w:rFonts w:ascii="PT Serif" w:hAnsi="PT Serif" w:cs="PT Serif" w:eastAsia="PT Serif"/>
          <w:sz w:val="24"/>
        </w:rPr>
        <w:t xml:space="preserve">              от 20 марта 2025 года № 33-ФЗ «Об общих принципах организации местного самоуправления в единой системе публичной власти», Федеральным </w:t>
      </w:r>
      <w:hyperlink r:id="rId14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законом</w:t>
        </w:r>
      </w:hyperlink>
      <w:r>
        <w:rPr>
          <w:rFonts w:ascii="PT Serif" w:hAnsi="PT Serif" w:cs="PT Serif" w:eastAsia="PT Serif"/>
          <w:sz w:val="24"/>
        </w:rPr>
        <w:t xml:space="preserve">            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1.3. Председатель Контрольно-счетной комиссии назначается на должность и освобождается от должности решением Совета депутатов Новооскольского муниципального округа Белгородской области.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outlineLvl w:val="1"/>
        <w:suppressLineNumbers w:val="0"/>
      </w:pPr>
      <w:r>
        <w:rPr>
          <w:rFonts w:ascii="PT Serif" w:hAnsi="PT Serif" w:cs="PT Serif" w:eastAsia="PT Serif"/>
          <w:sz w:val="24"/>
        </w:rPr>
        <w:t xml:space="preserve">2. Порядок внесения предложений о кандидатурах</w:t>
      </w:r>
      <w:r>
        <w:rPr>
          <w:rFonts w:ascii="PT Serif" w:hAnsi="PT Serif" w:cs="PT Serif" w:eastAsia="PT Serif"/>
          <w:sz w:val="24"/>
        </w:rPr>
        <w:t xml:space="preserve">:</w:t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2.1. Предложения о кандидатурах на должность председателя Контрольно-счетной комиссии вносятся в </w:t>
      </w:r>
      <w:r>
        <w:rPr>
          <w:rFonts w:ascii="PT Serif" w:hAnsi="PT Serif" w:cs="PT Serif" w:eastAsia="PT Serif"/>
          <w:sz w:val="24"/>
        </w:rPr>
        <w:t xml:space="preserve">Совет депутатов 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 в письменном виде не позднее чем за 2 месяца до истечения срока полномочий действующего председателя: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1) председателем </w:t>
      </w:r>
      <w:r>
        <w:rPr>
          <w:rFonts w:ascii="PT Serif" w:hAnsi="PT Serif" w:cs="PT Serif" w:eastAsia="PT Serif"/>
          <w:sz w:val="24"/>
        </w:rPr>
        <w:t xml:space="preserve">Совета депутатов Новооскольского муниципального округа Белгородской области;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2) депутатами </w:t>
      </w:r>
      <w:r>
        <w:rPr>
          <w:rFonts w:ascii="PT Serif" w:hAnsi="PT Serif" w:cs="PT Serif" w:eastAsia="PT Serif"/>
          <w:sz w:val="24"/>
        </w:rPr>
        <w:t xml:space="preserve">Совета депутатов 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- не менее одной трети от установленного числа членов.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  <w:t xml:space="preserve">2.2. В случае досрочного прекращения полномочий председателя </w:t>
      </w:r>
      <w:r>
        <w:rPr>
          <w:rFonts w:ascii="PT Serif" w:hAnsi="PT Serif" w:cs="PT Serif" w:eastAsia="PT Serif"/>
          <w:sz w:val="24"/>
        </w:rPr>
        <w:t xml:space="preserve">Контрольно-счетной комиссии предложения о кандидатурах вносятся в </w:t>
      </w:r>
      <w:r>
        <w:rPr>
          <w:rFonts w:ascii="PT Serif" w:hAnsi="PT Serif" w:cs="PT Serif" w:eastAsia="PT Serif"/>
          <w:sz w:val="24"/>
        </w:rPr>
        <w:t xml:space="preserve">Совет депутатов 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 не позднее 20 (двадцати) дней со дня принятия и (или) вступления в силу решения о досрочном прекращении полномочий председателя Контрольно-счетной комиссии.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  <w:highlight w:val="none"/>
        </w:rPr>
      </w:r>
      <w:r>
        <w:rPr>
          <w:highlight w:val="none"/>
        </w:rPr>
        <w:t xml:space="preserve">2.3. Временно исполняющим обязанности председателя Контрольно-счетной комиссии  до вступления в должность вновь назначенног</w:t>
      </w:r>
      <w:r>
        <w:rPr>
          <w:highlight w:val="none"/>
        </w:rPr>
        <w:t xml:space="preserve">о председателя Контрольно-счетной комиссии, назначается инспектор  Контрольно-счетной комиссии на основании решения Совета депутатов</w:t>
      </w:r>
      <w:r>
        <w:rPr>
          <w:highlight w:val="none"/>
        </w:rPr>
        <w:t xml:space="preserve"> </w:t>
      </w:r>
      <w:r>
        <w:rPr>
          <w:rFonts w:ascii="PT Serif" w:hAnsi="PT Serif" w:cs="PT Serif" w:eastAsia="PT Serif"/>
          <w:sz w:val="24"/>
          <w:highlight w:val="none"/>
        </w:rPr>
        <w:t xml:space="preserve">Новооскольского муниципального округа Белгородской области. </w:t>
      </w:r>
      <w:r>
        <w:rPr>
          <w:highlight w:val="none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2.4. Кандидаты на должность председателя должны соответствовать требованиям, установленным статьей 7</w:t>
      </w:r>
      <w:r>
        <w:rPr>
          <w:rFonts w:ascii="PT Serif" w:hAnsi="PT Serif" w:cs="PT Serif" w:eastAsia="PT Serif"/>
          <w:sz w:val="24"/>
        </w:rPr>
        <w:t xml:space="preserve">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2.5. Кандидаты на должность председателя Контрольно-счетной комиссии представляют в </w:t>
      </w:r>
      <w:r>
        <w:rPr>
          <w:rFonts w:ascii="PT Serif" w:hAnsi="PT Serif" w:cs="PT Serif" w:eastAsia="PT Serif"/>
          <w:sz w:val="24"/>
        </w:rPr>
        <w:t xml:space="preserve">Совет депутатов Новооскольского муниципального округа Белгородской области: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</w:r>
      <w:hyperlink w:tooltip="Заявление." w:anchor="P116" w:history="1">
        <w:r>
          <w:rPr>
            <w:rFonts w:ascii="PT Serif" w:hAnsi="PT Serif" w:cs="PT Serif" w:eastAsia="PT Serif"/>
            <w:sz w:val="24"/>
          </w:rPr>
          <w:t xml:space="preserve">заявление</w:t>
        </w:r>
      </w:hyperlink>
      <w:r>
        <w:rPr>
          <w:rFonts w:ascii="PT Serif" w:hAnsi="PT Serif" w:cs="PT Serif" w:eastAsia="PT Serif"/>
          <w:sz w:val="24"/>
        </w:rPr>
        <w:t xml:space="preserve"> кандидата на должность председателя о его согласии на назначение на должность (приложение №1 к настоящему Порядку);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собственноручно заполненную и подписанную </w:t>
      </w:r>
      <w:hyperlink r:id="rId15" w:tooltip="Распоряжение Правительства РФ от 26.05.2005 N 667-р (ред. от 22.04.2022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&gt; ------------ Утратил силу или отменен {КонсультантПлюс}" w:history="1">
        <w:r>
          <w:rPr>
            <w:rFonts w:ascii="PT Serif" w:hAnsi="PT Serif" w:cs="PT Serif" w:eastAsia="PT Serif"/>
            <w:sz w:val="24"/>
          </w:rPr>
          <w:t xml:space="preserve">анкету</w:t>
        </w:r>
      </w:hyperlink>
      <w:r>
        <w:rPr>
          <w:rFonts w:ascii="PT Serif" w:hAnsi="PT Serif" w:cs="PT Serif" w:eastAsia="PT Serif"/>
          <w:sz w:val="24"/>
        </w:rPr>
        <w:t xml:space="preserve"> по форме, установленной распоряжением Правительства РФ от 26 мая 2005 года № 667-р,            с приложением фотографии размером 3 x 4;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копию паспорта или иного документа, удостоверяющего личность гражданина Российской Федерации;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документы, подтверждающие наличие высшего профессионального образования и опыта работы в установленных </w:t>
      </w:r>
      <w:hyperlink r:id="rId16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sz w:val="24"/>
          </w:rPr>
          <w:t xml:space="preserve">статьей  7</w:t>
        </w:r>
      </w:hyperlink>
      <w:r>
        <w:rPr>
          <w:rFonts w:ascii="PT Serif" w:hAnsi="PT Serif" w:cs="PT Serif" w:eastAsia="PT Serif"/>
          <w:sz w:val="24"/>
        </w:rPr>
        <w:t xml:space="preserve"> Ф</w:t>
      </w:r>
      <w:r>
        <w:rPr>
          <w:rFonts w:ascii="PT Serif" w:hAnsi="PT Serif" w:cs="PT Serif" w:eastAsia="PT Serif"/>
          <w:sz w:val="24"/>
        </w:rPr>
        <w:t xml:space="preserve">едерального зак</w:t>
      </w:r>
      <w:r>
        <w:rPr>
          <w:rFonts w:ascii="PT Serif" w:hAnsi="PT Serif" w:cs="PT Serif" w:eastAsia="PT Serif"/>
          <w:sz w:val="24"/>
        </w:rPr>
        <w:t xml:space="preserve">она            от 7 февраля 2011 года    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 в сферах деятельности не менее 5 лет, и их копии;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документы воинского учета - для граждан, пребывающих в запасе, и лиц, подлежащих призыву на военную службу;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сведения о своих доходах, об имуществе и обязательствах имущественного характера, а также о дох</w:t>
      </w:r>
      <w:r>
        <w:rPr>
          <w:rFonts w:ascii="PT Serif" w:hAnsi="PT Serif" w:cs="PT Serif" w:eastAsia="PT Serif"/>
          <w:sz w:val="24"/>
        </w:rPr>
        <w:t xml:space="preserve">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Белгородской области, муниципальными нормативными правовыми актами;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согласие на обработку персональных данных </w:t>
      </w:r>
      <w:r>
        <w:rPr>
          <w:rFonts w:ascii="PT Serif" w:hAnsi="PT Serif" w:cs="PT Serif" w:eastAsia="PT Serif"/>
          <w:sz w:val="24"/>
        </w:rPr>
        <w:t xml:space="preserve">(приложение № 2 к настоящему Порядку);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иные документы по инициативе кандидата (характеристики, рекомендации и другие).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2.6. </w:t>
      </w:r>
      <w:r>
        <w:rPr>
          <w:rFonts w:ascii="PT Serif" w:hAnsi="PT Serif" w:cs="PT Serif" w:eastAsia="PT Serif"/>
          <w:sz w:val="24"/>
        </w:rPr>
        <w:t xml:space="preserve">Совет депутатов 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вправе обратиться в Контрольно-счетную палату Белгородской области за заключением о соответствии кандидатур на должность председателя Контрольно-счетной комиссии квалификационным требованиям, установленным Федеральным </w:t>
      </w:r>
      <w:hyperlink r:id="rId17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sz w:val="24"/>
          </w:rPr>
          <w:t xml:space="preserve">законом</w:t>
        </w:r>
      </w:hyperlink>
      <w:r>
        <w:rPr>
          <w:rFonts w:ascii="PT Serif" w:hAnsi="PT Serif" w:cs="PT Serif" w:eastAsia="PT Serif"/>
          <w:sz w:val="24"/>
        </w:rP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образований».</w:t>
      </w:r>
      <w:r>
        <w:rPr>
          <w:rFonts w:ascii="PT Serif" w:hAnsi="PT Serif" w:cs="PT Serif" w:eastAsia="PT Serif"/>
          <w:sz w:val="24"/>
        </w:rPr>
      </w:r>
      <w:r/>
    </w:p>
    <w:p>
      <w:pPr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</w:r>
      <w:r/>
    </w:p>
    <w:p>
      <w:pPr>
        <w:pStyle w:val="816"/>
        <w:contextualSpacing w:val="true"/>
        <w:jc w:val="center"/>
        <w:spacing w:lineRule="auto" w:line="240" w:after="0" w:before="0"/>
        <w:rPr>
          <w:rFonts w:ascii="PT Serif" w:hAnsi="PT Serif" w:cs="PT Serif" w:eastAsia="PT Serif"/>
          <w:sz w:val="24"/>
          <w:highlight w:val="none"/>
        </w:rPr>
        <w:outlineLvl w:val="1"/>
        <w:suppressLineNumbers w:val="0"/>
      </w:pPr>
      <w:r>
        <w:rPr>
          <w:rFonts w:ascii="PT Serif" w:hAnsi="PT Serif" w:cs="PT Serif" w:eastAsia="PT Serif"/>
          <w:sz w:val="24"/>
        </w:rPr>
        <w:t xml:space="preserve">3. Порядок рассмотрения кандидатур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6"/>
        <w:contextualSpacing w:val="true"/>
        <w:jc w:val="center"/>
        <w:spacing w:lineRule="auto" w:line="240" w:after="0" w:before="0"/>
        <w:rPr>
          <w:rFonts w:ascii="PT Serif" w:hAnsi="PT Serif" w:cs="PT Serif" w:eastAsia="PT Serif"/>
          <w:sz w:val="24"/>
        </w:rPr>
        <w:outlineLvl w:val="1"/>
        <w:suppressLineNumbers w:val="0"/>
      </w:pPr>
      <w:r>
        <w:rPr>
          <w:rFonts w:ascii="PT Serif" w:hAnsi="PT Serif" w:cs="PT Serif" w:eastAsia="PT Serif"/>
          <w:sz w:val="24"/>
          <w:highlight w:val="none"/>
        </w:rPr>
      </w:r>
      <w:r>
        <w:rPr>
          <w:rFonts w:ascii="PT Serif" w:hAnsi="PT Serif" w:cs="PT Serif" w:eastAsia="PT Serif"/>
          <w:sz w:val="24"/>
          <w:highlight w:val="none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3.1. Предложения о кандидатурах вносятся в </w:t>
      </w:r>
      <w:r>
        <w:rPr>
          <w:rFonts w:ascii="PT Serif" w:hAnsi="PT Serif" w:cs="PT Serif" w:eastAsia="PT Serif"/>
          <w:sz w:val="24"/>
        </w:rPr>
        <w:t xml:space="preserve">Совет депутатов 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. Поступившие документы регистрируются </w:t>
      </w:r>
      <w:r>
        <w:rPr>
          <w:rFonts w:ascii="PT Serif" w:hAnsi="PT Serif" w:cs="PT Serif" w:eastAsia="PT Serif"/>
          <w:sz w:val="24"/>
        </w:rPr>
        <w:t xml:space="preserve">аппаратом Совета депутатов 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в день их поступления и направляются председателем </w:t>
      </w:r>
      <w:r>
        <w:rPr>
          <w:rFonts w:ascii="PT Serif" w:hAnsi="PT Serif" w:cs="PT Serif" w:eastAsia="PT Serif"/>
          <w:sz w:val="24"/>
        </w:rPr>
        <w:t xml:space="preserve">Совета депутатов 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в постоянную комиссию по</w:t>
      </w:r>
      <w:r>
        <w:rPr>
          <w:rFonts w:ascii="PT Serif" w:hAnsi="PT Serif" w:cs="PT Serif" w:eastAsia="PT Serif"/>
          <w:sz w:val="24"/>
          <w:szCs w:val="28"/>
        </w:rPr>
        <w:t xml:space="preserve"> </w:t>
      </w:r>
      <w:r>
        <w:rPr>
          <w:rFonts w:ascii="PT Serif" w:hAnsi="PT Serif" w:cs="PT Serif" w:eastAsia="PT Serif"/>
          <w:sz w:val="24"/>
          <w:szCs w:val="28"/>
        </w:rPr>
        <w:t xml:space="preserve">местному самоуправлению, нормативно-правовой деятельности и общественному правопорядку</w:t>
      </w:r>
      <w:r>
        <w:rPr>
          <w:rFonts w:ascii="PT Serif" w:hAnsi="PT Serif" w:cs="PT Serif" w:eastAsia="PT Serif"/>
          <w:sz w:val="24"/>
        </w:rPr>
        <w:t xml:space="preserve"> (далее - Комиссия).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3.2. Комиссия в срок не более 10 (десяти) календарных дней осуществляет предварительное рассмотрение кандидатур и представленных по ним документов на предмет их соответствия требованиям Федерального </w:t>
      </w:r>
      <w:hyperlink r:id="rId18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закона</w:t>
        </w:r>
      </w:hyperlink>
      <w:r>
        <w:rPr>
          <w:rFonts w:ascii="PT Serif" w:hAnsi="PT Serif" w:cs="PT Serif" w:eastAsia="PT Serif"/>
          <w:sz w:val="24"/>
        </w:rPr>
        <w:t xml:space="preserve"> от 7 февраля              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hyperlink r:id="rId19" w:tooltip="Решение Муниципального совета муниципального района &quot;Вейделевский район&quot; Белгородской обл. от 26.11.2021 N 5 (ред. от 30.10.2025) &quot;О Контрольно-счетной комиссии муниципального района &quot;Вейделевский район&quot; Белгородской области&quot; (вместе с &quot;Положением о Контрольно-счетной комиссии муниципального района &quot;Вейделевский район&quot; Белгородской области&quot;)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Положению</w:t>
        </w:r>
      </w:hyperlink>
      <w:r>
        <w:rPr>
          <w:rFonts w:ascii="PT Serif" w:hAnsi="PT Serif" w:cs="PT Serif" w:eastAsia="PT Serif"/>
          <w:sz w:val="24"/>
        </w:rPr>
        <w:t xml:space="preserve"> о Контрольно-счетной комиссии Новооскольского муниципального округа Белгородской области, утвержденному решением Совета депутато</w:t>
      </w:r>
      <w:r>
        <w:rPr>
          <w:rFonts w:ascii="PT Serif" w:hAnsi="PT Serif" w:cs="PT Serif" w:eastAsia="PT Serif"/>
          <w:sz w:val="24"/>
        </w:rPr>
        <w:t xml:space="preserve">в 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  от 24 сентября 2024 года № 158 (далее - Положение о Контрольно-счетной комиссии).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3.3. На заседание Комиссии приглашаются кандидаты, субъекты, внесшие соответствующие предложения о кандидатурах (их представители).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3.4. По результатам рассмотрения кандидатуры и представленных по ней документов Комиссия принимает одно из следующих решений: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3.4.1. Кандидатура и представленные по ней документы соответствуют требованиям Федерального </w:t>
      </w:r>
      <w:hyperlink r:id="rId20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закона</w:t>
        </w:r>
      </w:hyperlink>
      <w:r>
        <w:rPr>
          <w:rFonts w:ascii="PT Serif" w:hAnsi="PT Serif" w:cs="PT Serif" w:eastAsia="PT Serif"/>
          <w:sz w:val="24"/>
        </w:rP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Положения о Контрольно-счетной комиссии и настоящего Порядка.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3.4.2. Кандидатура и представленные по ней документы не соответствуют требованиям Федер</w:t>
      </w:r>
      <w:r>
        <w:rPr>
          <w:rFonts w:ascii="PT Serif" w:hAnsi="PT Serif" w:cs="PT Serif" w:eastAsia="PT Serif"/>
          <w:sz w:val="24"/>
        </w:rPr>
        <w:t xml:space="preserve">ального з</w:t>
      </w:r>
      <w:r>
        <w:rPr>
          <w:rFonts w:ascii="PT Serif" w:hAnsi="PT Serif" w:cs="PT Serif" w:eastAsia="PT Serif"/>
          <w:sz w:val="24"/>
        </w:rPr>
        <w:t xml:space="preserve">акона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Положения о Контрольно-счетной комиссии и настоящего Порядка.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3.5. Документы по кандидатурам на должность председателя  Контрольно-счетной комиссии, соответствующие требованиям Федерального </w:t>
      </w:r>
      <w:hyperlink r:id="rId21" w:tooltip="Федеральный закон от 07.02.2011 N 6-ФЗ (ред. от 28.12.2025) &quot;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&quot; {КонсультантПлюс}" w:history="1">
        <w:r>
          <w:rPr>
            <w:rFonts w:ascii="PT Serif" w:hAnsi="PT Serif" w:cs="PT Serif" w:eastAsia="PT Serif"/>
            <w:color w:val="0000FF"/>
            <w:sz w:val="24"/>
          </w:rPr>
          <w:t xml:space="preserve">закона</w:t>
        </w:r>
      </w:hyperlink>
      <w:r>
        <w:rPr>
          <w:rFonts w:ascii="PT Serif" w:hAnsi="PT Serif" w:cs="PT Serif" w:eastAsia="PT Serif"/>
          <w:sz w:val="24"/>
        </w:rPr>
        <w:t xml:space="preserve">                        от 7 февраля 2011 года № 6-ФЗ «Об общих принципах организации и деятельности контрольно-счетных органов субъектов Российской Федерации, федеральных </w:t>
      </w:r>
      <w:r>
        <w:rPr>
          <w:rFonts w:ascii="PT Serif" w:hAnsi="PT Serif" w:cs="PT Serif" w:eastAsia="PT Serif"/>
          <w:sz w:val="24"/>
        </w:rPr>
        <w:t xml:space="preserve">территорий и муниципальных образований», Положению о Контрольно-счетной комиссии и настоящего Порядка, направляются председателю 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и вносятся для рассмотрения на заседании 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6"/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outlineLvl w:val="1"/>
        <w:suppressLineNumbers w:val="0"/>
      </w:pPr>
      <w:r>
        <w:rPr>
          <w:rFonts w:ascii="PT Serif" w:hAnsi="PT Serif" w:cs="PT Serif" w:eastAsia="PT Serif"/>
          <w:sz w:val="24"/>
          <w:highlight w:val="none"/>
        </w:rPr>
      </w:r>
      <w:r>
        <w:rPr>
          <w:rFonts w:ascii="PT Serif" w:hAnsi="PT Serif" w:cs="PT Serif" w:eastAsia="PT Serif"/>
          <w:sz w:val="24"/>
          <w:highlight w:val="none"/>
        </w:rPr>
      </w:r>
      <w:r/>
    </w:p>
    <w:p>
      <w:pPr>
        <w:pStyle w:val="816"/>
        <w:contextualSpacing w:val="true"/>
        <w:jc w:val="center"/>
        <w:spacing w:lineRule="auto" w:line="240" w:after="0" w:before="0"/>
        <w:rPr>
          <w:rFonts w:ascii="PT Serif" w:hAnsi="PT Serif" w:cs="PT Serif" w:eastAsia="PT Serif"/>
          <w:sz w:val="24"/>
          <w:highlight w:val="none"/>
        </w:rPr>
        <w:outlineLvl w:val="1"/>
        <w:suppressLineNumbers w:val="0"/>
      </w:pPr>
      <w:r>
        <w:rPr>
          <w:rFonts w:ascii="PT Serif" w:hAnsi="PT Serif" w:cs="PT Serif" w:eastAsia="PT Serif"/>
          <w:sz w:val="24"/>
        </w:rPr>
        <w:t xml:space="preserve">4. Назначение на должность председателя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6"/>
        <w:contextualSpacing w:val="true"/>
        <w:jc w:val="center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Контрольно-счетной комиссии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4.1. Рассмотрение вопроса о назначении на должность председателя Контрольно-счетной комиссии на заседании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включает: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4.1.1. Представление (в алфавитном порядке) кандидатов субъектами, внесшими соответствующие предложения о кандидатурах (их представителями).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4.2. На заседании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 до начала процедуры рассмотрения кандидатур на должность председателя Контрольно-счетной комиссии заслушивается решение Комиссии, принятое по результатам рассмотрения кандидатур и представленных по ним документов.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4.3. Решение по вопросу о назначении на должность председателя Контрольно-счетной комиссии принимается </w:t>
      </w:r>
      <w:r>
        <w:rPr>
          <w:rFonts w:ascii="PT Serif" w:hAnsi="PT Serif" w:cs="PT Serif" w:eastAsia="PT Serif"/>
          <w:sz w:val="24"/>
        </w:rPr>
        <w:t xml:space="preserve">Советом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путем открытого голосования, большинством голосов присутствующих депутатов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. При этом каждый депутат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 может голосовать только за одну из представленных кандидатур.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Допускается проведение голосования по одной кандидатуре.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4.4. В случае если на заседании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 </w:t>
      </w:r>
      <w:r>
        <w:rPr>
          <w:rFonts w:ascii="PT Serif" w:hAnsi="PT Serif" w:cs="PT Serif" w:eastAsia="PT Serif"/>
          <w:sz w:val="24"/>
        </w:rPr>
        <w:t xml:space="preserve">при рассмотрении вопроса о назначении на должность председателя Контрольно-счетной комиссии на голосование ставится более одной кандидатуры и п</w:t>
      </w:r>
      <w:r>
        <w:rPr>
          <w:rFonts w:ascii="PT Serif" w:hAnsi="PT Serif" w:cs="PT Serif" w:eastAsia="PT Serif"/>
          <w:sz w:val="24"/>
        </w:rPr>
        <w:t xml:space="preserve">о результатам первоначального голосования ни одна из кандидатур не набрала требуемого для назначения на должность председателя Контрольно-счетной комиссии число голосов депутатов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, то проводится повторное голосование.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54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Повторное голосование проводится по двум кандидатам, набравшим по результатам первоначального голосования наибольшее число голосов депутатов </w:t>
      </w:r>
      <w:r>
        <w:rPr>
          <w:rFonts w:ascii="PT Serif" w:hAnsi="PT Serif" w:cs="PT Serif" w:eastAsia="PT Serif"/>
          <w:sz w:val="24"/>
        </w:rPr>
        <w:t xml:space="preserve">Совета депутатов </w:t>
      </w:r>
      <w:r>
        <w:rPr>
          <w:rFonts w:ascii="PT Serif" w:hAnsi="PT Serif" w:cs="PT Serif" w:eastAsia="PT Serif"/>
          <w:sz w:val="24"/>
        </w:rPr>
        <w:t xml:space="preserve">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</w:rPr>
        <w:t xml:space="preserve">.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ind w:firstLine="0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jc w:val="both"/>
        <w:spacing w:lineRule="auto" w:line="240" w:after="0" w:before="0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jc w:val="both"/>
      </w:pPr>
      <w:r/>
      <w:r/>
    </w:p>
    <w:p>
      <w:pPr>
        <w:pStyle w:val="817"/>
        <w:ind w:firstLine="0"/>
        <w:jc w:val="both"/>
      </w:pPr>
      <w:r/>
      <w:r/>
    </w:p>
    <w:p>
      <w:pPr>
        <w:pStyle w:val="817"/>
        <w:ind w:firstLine="0"/>
        <w:jc w:val="both"/>
      </w:pPr>
      <w:r/>
      <w:r/>
    </w:p>
    <w:p>
      <w:pPr>
        <w:pStyle w:val="817"/>
        <w:ind w:firstLine="0"/>
        <w:jc w:val="both"/>
      </w:pPr>
      <w:r>
        <w:rPr>
          <w:sz w:val="24"/>
        </w:rPr>
      </w:r>
      <w:r/>
    </w:p>
    <w:tbl>
      <w:tblPr>
        <w:tblStyle w:val="666"/>
        <w:tblW w:w="0" w:type="auto"/>
        <w:tblLayout w:type="fixed"/>
        <w:tblLook w:val="04A0" w:firstRow="1" w:lastRow="0" w:firstColumn="1" w:lastColumn="0" w:noHBand="0" w:noVBand="1"/>
      </w:tblPr>
      <w:tblGrid>
        <w:gridCol w:w="3401"/>
        <w:gridCol w:w="5954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817"/>
              <w:jc w:val="both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17"/>
              <w:contextualSpacing w:val="false"/>
              <w:jc w:val="center"/>
              <w:spacing w:lineRule="auto" w:line="240" w:after="0" w:before="57"/>
              <w:rPr>
                <w:b/>
              </w:rPr>
              <w:outlineLvl w:val="1"/>
              <w:suppressLineNumbers w:val="0"/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sz w:val="24"/>
                <w:highlight w:val="none"/>
              </w:rPr>
            </w:r>
            <w:r/>
          </w:p>
          <w:p>
            <w:pPr>
              <w:pStyle w:val="817"/>
              <w:contextualSpacing w:val="true"/>
              <w:jc w:val="center"/>
              <w:spacing w:lineRule="auto" w:line="240" w:after="0" w:before="-57"/>
              <w:rPr>
                <w:b/>
                <w:sz w:val="24"/>
                <w:highlight w:val="none"/>
              </w:rPr>
              <w:outlineLvl w:val="1"/>
              <w:suppressLineNumbers w:val="0"/>
            </w:pPr>
            <w:r>
              <w:rPr>
                <w:b/>
                <w:sz w:val="24"/>
              </w:rPr>
              <w:t xml:space="preserve">Приложение № 1</w:t>
            </w:r>
            <w:r>
              <w:rPr>
                <w:b/>
              </w:rPr>
            </w:r>
            <w:r/>
          </w:p>
          <w:p>
            <w:pPr>
              <w:pStyle w:val="817"/>
              <w:contextualSpacing w:val="true"/>
              <w:jc w:val="center"/>
              <w:spacing w:lineRule="auto" w:line="240" w:after="0" w:before="-57"/>
              <w:rPr>
                <w:rFonts w:ascii="PT Serif" w:hAnsi="PT Serif" w:cs="PT Serif" w:eastAsia="PT Serif"/>
                <w:b/>
                <w:sz w:val="24"/>
                <w:highlight w:val="none"/>
              </w:rPr>
              <w:suppressLineNumbers w:val="0"/>
            </w:pPr>
            <w:r>
              <w:rPr>
                <w:b/>
                <w:sz w:val="24"/>
              </w:rPr>
              <w:t xml:space="preserve">к Порядку </w:t>
            </w: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 рассмотрения кандидатур</w:t>
            </w:r>
            <w:r/>
          </w:p>
          <w:p>
            <w:pPr>
              <w:pStyle w:val="817"/>
              <w:contextualSpacing w:val="true"/>
              <w:jc w:val="center"/>
              <w:spacing w:lineRule="auto" w:line="240" w:after="0" w:before="-57"/>
              <w:rPr>
                <w:rFonts w:ascii="PT Serif" w:hAnsi="PT Serif" w:cs="PT Serif" w:eastAsia="PT Serif"/>
                <w:b/>
                <w:sz w:val="24"/>
                <w:highlight w:val="none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 на должность председателя </w:t>
            </w:r>
            <w:r/>
          </w:p>
          <w:p>
            <w:pPr>
              <w:pStyle w:val="817"/>
              <w:contextualSpacing w:val="true"/>
              <w:jc w:val="center"/>
              <w:spacing w:lineRule="auto" w:line="240" w:after="0" w:before="-57"/>
              <w:rPr>
                <w:b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Контрольно-счетной комиссии Новооскольского муниципального округа Белгородской области</w:t>
            </w:r>
            <w:r>
              <w:rPr>
                <w:b/>
              </w:rPr>
            </w:r>
            <w:r/>
          </w:p>
          <w:p>
            <w:pPr>
              <w:pStyle w:val="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/>
          </w:p>
        </w:tc>
      </w:tr>
    </w:tbl>
    <w:p>
      <w:pPr>
        <w:pStyle w:val="817"/>
        <w:jc w:val="both"/>
      </w:pPr>
      <w:r>
        <w:rPr>
          <w:sz w:val="24"/>
        </w:rPr>
      </w:r>
      <w:r/>
    </w:p>
    <w:p>
      <w:pPr>
        <w:pStyle w:val="817"/>
        <w:jc w:val="both"/>
      </w:pPr>
      <w:r>
        <w:rPr>
          <w:sz w:val="24"/>
        </w:rPr>
      </w:r>
      <w:r/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110"/>
        <w:gridCol w:w="5244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817"/>
            </w:pPr>
            <w:r>
              <w:rPr>
                <w:sz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244" w:type="dxa"/>
            <w:textDirection w:val="lrTb"/>
            <w:noWrap w:val="false"/>
          </w:tcPr>
          <w:p>
            <w:pPr>
              <w:pStyle w:val="817"/>
              <w:contextualSpacing w:val="false"/>
              <w:ind w:left="0" w:right="0" w:firstLine="0"/>
              <w:jc w:val="center"/>
              <w:spacing w:lineRule="auto" w:line="240" w:after="0" w:before="0"/>
              <w:rPr>
                <w:rFonts w:ascii="PT Serif" w:hAnsi="PT Serif" w:cs="PT Serif" w:eastAsia="PT Serif"/>
                <w:sz w:val="24"/>
              </w:rPr>
              <w:suppressLineNumbers w:val="0"/>
            </w:pPr>
            <w:r>
              <w:rPr>
                <w:rFonts w:ascii="PT Serif" w:hAnsi="PT Serif" w:cs="PT Serif" w:eastAsia="PT Serif"/>
                <w:sz w:val="24"/>
              </w:rPr>
              <w:t xml:space="preserve">В Совет депутатов </w:t>
            </w:r>
            <w:r>
              <w:rPr>
                <w:rFonts w:ascii="PT Serif" w:hAnsi="PT Serif" w:cs="PT Serif" w:eastAsia="PT Serif"/>
              </w:rPr>
            </w:r>
            <w:r/>
          </w:p>
          <w:p>
            <w:pPr>
              <w:pStyle w:val="817"/>
              <w:contextualSpacing w:val="false"/>
              <w:ind w:left="0" w:right="0" w:firstLine="0"/>
              <w:jc w:val="center"/>
              <w:spacing w:lineRule="auto" w:line="240" w:after="0" w:before="0"/>
              <w:rPr>
                <w:rFonts w:ascii="PT Serif" w:hAnsi="PT Serif" w:cs="PT Serif" w:eastAsia="PT Serif"/>
              </w:rPr>
              <w:suppressLineNumbers w:val="0"/>
            </w:pPr>
            <w:r>
              <w:rPr>
                <w:rFonts w:ascii="PT Serif" w:hAnsi="PT Serif" w:cs="PT Serif" w:eastAsia="PT Serif"/>
                <w:sz w:val="24"/>
              </w:rPr>
              <w:t xml:space="preserve">Новооскольского муниципального округа Белгородской области</w:t>
            </w:r>
            <w:r>
              <w:rPr>
                <w:rFonts w:ascii="PT Serif" w:hAnsi="PT Serif" w:cs="PT Serif" w:eastAsia="PT Serif"/>
              </w:rPr>
            </w:r>
            <w:r/>
          </w:p>
          <w:p>
            <w:pPr>
              <w:pStyle w:val="817"/>
              <w:contextualSpacing w:val="false"/>
              <w:ind w:left="0" w:right="0" w:firstLine="0"/>
              <w:jc w:val="center"/>
              <w:spacing w:lineRule="auto" w:line="240" w:after="0" w:before="0"/>
              <w:rPr>
                <w:rFonts w:ascii="PT Serif" w:hAnsi="PT Serif" w:cs="PT Serif" w:eastAsia="PT Serif"/>
              </w:rPr>
              <w:suppressLineNumbers w:val="0"/>
            </w:pPr>
            <w:r>
              <w:rPr>
                <w:rFonts w:ascii="PT Serif" w:hAnsi="PT Serif" w:cs="PT Serif" w:eastAsia="PT Serif"/>
                <w:sz w:val="24"/>
              </w:rPr>
              <w:t xml:space="preserve">от __________________</w:t>
            </w:r>
            <w:r>
              <w:rPr>
                <w:rFonts w:ascii="PT Serif" w:hAnsi="PT Serif" w:cs="PT Serif" w:eastAsia="PT Serif"/>
              </w:rPr>
            </w:r>
            <w:r/>
          </w:p>
        </w:tc>
      </w:tr>
      <w:tr>
        <w:trPr/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17"/>
              <w:jc w:val="center"/>
              <w:rPr>
                <w:rFonts w:ascii="PT Serif" w:hAnsi="PT Serif" w:cs="PT Serif" w:eastAsia="PT Serif"/>
              </w:rPr>
            </w:pPr>
            <w:r>
              <w:rPr>
                <w:rFonts w:ascii="PT Serif" w:hAnsi="PT Serif" w:cs="PT Serif" w:eastAsia="PT Serif"/>
                <w:sz w:val="24"/>
              </w:rPr>
              <w:t xml:space="preserve">Заявление.</w:t>
            </w:r>
            <w:r>
              <w:rPr>
                <w:rFonts w:ascii="PT Serif" w:hAnsi="PT Serif" w:cs="PT Serif" w:eastAsia="PT Serif"/>
              </w:rPr>
            </w:r>
            <w:r/>
          </w:p>
        </w:tc>
      </w:tr>
      <w:tr>
        <w:trPr/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17"/>
              <w:ind w:firstLine="283"/>
              <w:jc w:val="both"/>
              <w:rPr>
                <w:rFonts w:ascii="PT Serif" w:hAnsi="PT Serif" w:cs="PT Serif" w:eastAsia="PT Serif"/>
              </w:rPr>
            </w:pPr>
            <w:r>
              <w:rPr>
                <w:rFonts w:ascii="PT Serif" w:hAnsi="PT Serif" w:cs="PT Serif" w:eastAsia="PT Serif"/>
                <w:sz w:val="24"/>
              </w:rPr>
              <w:t xml:space="preserve">Даю согласие на назначение меня на должность председателя  Контрольно-счетной комиссии Новооскольского муниципального округа Белгородской области.</w:t>
            </w:r>
            <w:r>
              <w:rPr>
                <w:rFonts w:ascii="PT Serif" w:hAnsi="PT Serif" w:cs="PT Serif" w:eastAsia="PT Serif"/>
              </w:rPr>
            </w:r>
            <w:r/>
          </w:p>
        </w:tc>
      </w:tr>
      <w:tr>
        <w:trPr/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17"/>
              <w:ind w:firstLine="0"/>
              <w:jc w:val="center"/>
            </w:pPr>
            <w:r>
              <w:t xml:space="preserve">__________________           ___________________                  _____________________</w:t>
            </w:r>
            <w:r/>
          </w:p>
          <w:p>
            <w:pPr>
              <w:pStyle w:val="817"/>
              <w:contextualSpacing w:val="true"/>
              <w:ind w:firstLine="0"/>
              <w:jc w:val="left"/>
              <w:spacing w:lineRule="auto" w:line="240" w:after="0" w:before="57"/>
              <w:suppressLineNumbers w:val="0"/>
            </w:pPr>
            <w:r>
              <w:t xml:space="preserve">                      (</w:t>
            </w:r>
            <w:r>
              <w:rPr>
                <w:sz w:val="20"/>
              </w:rPr>
              <w:t xml:space="preserve">дата)                                               (подпись)                                               (расшифровка) </w:t>
            </w:r>
            <w:r>
              <w:rPr>
                <w:sz w:val="20"/>
              </w:rPr>
            </w:r>
            <w:r/>
          </w:p>
          <w:p>
            <w:pPr>
              <w:pStyle w:val="817"/>
            </w:pPr>
            <w:r>
              <w:rPr>
                <w:sz w:val="24"/>
              </w:rPr>
            </w:r>
            <w:r/>
          </w:p>
        </w:tc>
      </w:tr>
    </w:tbl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jc w:val="both"/>
      </w:pPr>
      <w:r/>
      <w:r/>
    </w:p>
    <w:p>
      <w:pPr>
        <w:pStyle w:val="817"/>
        <w:ind w:firstLine="0"/>
        <w:jc w:val="both"/>
      </w:pPr>
      <w:r/>
      <w:r/>
    </w:p>
    <w:tbl>
      <w:tblPr>
        <w:tblStyle w:val="666"/>
        <w:tblW w:w="0" w:type="auto"/>
        <w:tblLayout w:type="fixed"/>
        <w:tblLook w:val="04A0" w:firstRow="1" w:lastRow="0" w:firstColumn="1" w:lastColumn="0" w:noHBand="0" w:noVBand="1"/>
      </w:tblPr>
      <w:tblGrid>
        <w:gridCol w:w="3401"/>
        <w:gridCol w:w="5954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817"/>
              <w:jc w:val="both"/>
            </w:pPr>
            <w:r>
              <w:rPr>
                <w:sz w:val="24"/>
              </w:rPr>
            </w:r>
            <w:r>
              <w:rPr>
                <w:sz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954" w:type="dxa"/>
            <w:textDirection w:val="lrTb"/>
            <w:noWrap w:val="false"/>
          </w:tcPr>
          <w:p>
            <w:pPr>
              <w:pStyle w:val="817"/>
              <w:contextualSpacing w:val="false"/>
              <w:jc w:val="center"/>
              <w:spacing w:lineRule="auto" w:line="240" w:after="0" w:before="57"/>
              <w:outlineLvl w:val="1"/>
              <w:suppressLineNumbers w:val="0"/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</w:rPr>
            </w:r>
            <w:r/>
          </w:p>
          <w:p>
            <w:pPr>
              <w:pStyle w:val="817"/>
              <w:contextualSpacing w:val="true"/>
              <w:jc w:val="center"/>
              <w:spacing w:lineRule="auto" w:line="240" w:after="0" w:before="0"/>
              <w:rPr>
                <w:rFonts w:ascii="PT Serif" w:hAnsi="PT Serif" w:cs="PT Serif" w:eastAsia="PT Serif"/>
                <w:highlight w:val="none"/>
              </w:rPr>
              <w:outlineLvl w:val="1"/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</w:rPr>
              <w:t xml:space="preserve">Приложение № 2</w:t>
            </w: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</w:r>
            <w:r>
              <w:rPr>
                <w:rFonts w:ascii="PT Serif" w:hAnsi="PT Serif" w:cs="PT Serif" w:eastAsia="PT Serif"/>
              </w:rPr>
            </w:r>
          </w:p>
          <w:p>
            <w:pPr>
              <w:pStyle w:val="817"/>
              <w:contextualSpacing w:val="true"/>
              <w:jc w:val="center"/>
              <w:spacing w:lineRule="auto" w:line="240" w:after="0" w:before="0"/>
              <w:rPr>
                <w:rFonts w:ascii="PT Serif" w:hAnsi="PT Serif" w:cs="PT Serif" w:eastAsia="PT Serif"/>
                <w:b/>
                <w:sz w:val="24"/>
                <w:highlight w:val="none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</w:rPr>
              <w:t xml:space="preserve">к Порядку </w:t>
            </w: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 рассмотрения кандидатур </w:t>
            </w:r>
            <w:r>
              <w:rPr>
                <w:rFonts w:ascii="PT Serif" w:hAnsi="PT Serif" w:cs="PT Serif" w:eastAsia="PT Serif"/>
              </w:rPr>
            </w:r>
          </w:p>
          <w:p>
            <w:pPr>
              <w:pStyle w:val="817"/>
              <w:contextualSpacing w:val="true"/>
              <w:jc w:val="center"/>
              <w:spacing w:lineRule="auto" w:line="240" w:after="0" w:before="0"/>
              <w:rPr>
                <w:rFonts w:ascii="PT Serif" w:hAnsi="PT Serif" w:cs="PT Serif" w:eastAsia="PT Serif"/>
                <w:b/>
                <w:sz w:val="24"/>
                <w:highlight w:val="none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на должность председателя</w:t>
            </w:r>
            <w:r>
              <w:rPr>
                <w:rFonts w:ascii="PT Serif" w:hAnsi="PT Serif" w:cs="PT Serif" w:eastAsia="PT Serif"/>
              </w:rPr>
            </w:r>
          </w:p>
          <w:p>
            <w:pPr>
              <w:pStyle w:val="817"/>
              <w:contextualSpacing w:val="true"/>
              <w:jc w:val="center"/>
              <w:spacing w:lineRule="auto" w:line="240" w:after="0" w:before="0"/>
              <w:rPr>
                <w:rFonts w:ascii="PT Serif" w:hAnsi="PT Serif" w:cs="PT Serif" w:eastAsia="PT Serif"/>
              </w:rPr>
              <w:suppressLineNumbers w:val="0"/>
            </w:pPr>
            <w:r>
              <w:rPr>
                <w:rFonts w:ascii="PT Serif" w:hAnsi="PT Serif" w:cs="PT Serif" w:eastAsia="PT Serif"/>
                <w:b/>
                <w:sz w:val="24"/>
                <w:highlight w:val="none"/>
              </w:rPr>
              <w:t xml:space="preserve"> Контрольно-счетной комиссии Новооскольского муниципального округа Белгородской области</w:t>
            </w:r>
            <w:r>
              <w:rPr>
                <w:rFonts w:ascii="PT Serif" w:hAnsi="PT Serif" w:cs="PT Serif" w:eastAsia="PT Serif"/>
                <w:b/>
              </w:rPr>
            </w:r>
            <w:r>
              <w:rPr>
                <w:rFonts w:ascii="PT Serif" w:hAnsi="PT Serif" w:cs="PT Serif" w:eastAsia="PT Serif"/>
              </w:rPr>
            </w:r>
          </w:p>
          <w:p>
            <w:pPr>
              <w:pStyle w:val="817"/>
              <w:contextualSpacing w:val="false"/>
              <w:jc w:val="center"/>
              <w:spacing w:lineRule="auto" w:line="240" w:after="0" w:before="0"/>
              <w:suppressLineNumbers w:val="0"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/>
          </w:p>
        </w:tc>
      </w:tr>
    </w:tbl>
    <w:p>
      <w:pPr>
        <w:pStyle w:val="817"/>
        <w:contextualSpacing w:val="true"/>
        <w:jc w:val="center"/>
        <w:spacing w:lineRule="auto" w:line="240" w:after="0" w:before="57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</w:rPr>
      </w:r>
      <w:r>
        <w:rPr>
          <w:rFonts w:ascii="PT Serif" w:hAnsi="PT Serif" w:cs="PT Serif" w:eastAsia="PT Serif"/>
          <w:sz w:val="24"/>
        </w:rPr>
        <w:t xml:space="preserve">Согласие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jc w:val="center"/>
        <w:spacing w:lineRule="auto" w:line="240" w:after="0" w:before="57"/>
        <w:rPr>
          <w:rFonts w:ascii="PT Serif" w:hAnsi="PT Serif" w:cs="PT Serif" w:eastAsia="PT Serif"/>
          <w:sz w:val="24"/>
          <w:highlight w:val="none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 на обработку персональных данных </w:t>
      </w:r>
      <w:r>
        <w:rPr>
          <w:rFonts w:ascii="PT Serif" w:hAnsi="PT Serif" w:cs="PT Serif" w:eastAsia="PT Serif"/>
          <w:sz w:val="24"/>
        </w:rPr>
      </w:r>
      <w:r/>
    </w:p>
    <w:p>
      <w:pPr>
        <w:pStyle w:val="817"/>
        <w:contextualSpacing w:val="true"/>
        <w:jc w:val="center"/>
        <w:spacing w:lineRule="auto" w:line="240" w:after="0" w:before="57"/>
        <w:rPr>
          <w:rFonts w:ascii="PT Serif" w:hAnsi="PT Serif" w:cs="PT Serif" w:eastAsia="PT Serif"/>
          <w:sz w:val="24"/>
        </w:rPr>
        <w:suppressLineNumbers w:val="0"/>
      </w:pPr>
      <w:r>
        <w:rPr>
          <w:rFonts w:ascii="PT Serif" w:hAnsi="PT Serif" w:cs="PT Serif" w:eastAsia="PT Serif"/>
          <w:sz w:val="24"/>
          <w:highlight w:val="none"/>
        </w:rPr>
      </w:r>
      <w:r>
        <w:rPr>
          <w:rFonts w:ascii="PT Serif" w:hAnsi="PT Serif" w:cs="PT Serif" w:eastAsia="PT Serif"/>
          <w:sz w:val="24"/>
          <w:highlight w:val="none"/>
        </w:rPr>
      </w:r>
      <w:r/>
    </w:p>
    <w:p>
      <w:pPr>
        <w:pStyle w:val="817"/>
        <w:contextualSpacing w:val="true"/>
        <w:jc w:val="center"/>
        <w:spacing w:lineRule="auto" w:line="240" w:after="0" w:before="57"/>
        <w:rPr>
          <w:sz w:val="20"/>
        </w:rPr>
        <w:suppressLineNumbers w:val="0"/>
      </w:pPr>
      <w:r>
        <w:rPr>
          <w:rFonts w:ascii="PT Serif" w:hAnsi="PT Serif" w:cs="PT Serif" w:eastAsia="PT Serif"/>
          <w:sz w:val="24"/>
        </w:rPr>
        <w:t xml:space="preserve">Я, ______________________________________________________________________________________</w:t>
      </w:r>
      <w:r>
        <w:rPr>
          <w:sz w:val="26"/>
        </w:rPr>
        <w:t xml:space="preserve">,</w:t>
      </w:r>
      <w:r>
        <w:t xml:space="preserve"> </w:t>
      </w:r>
      <w:r>
        <w:rPr>
          <w:sz w:val="20"/>
        </w:rPr>
        <w:t xml:space="preserve">(фамилия, имя, отчество субъекта персональных данных, год рождения) </w:t>
      </w:r>
      <w:r/>
    </w:p>
    <w:p>
      <w:pPr>
        <w:pStyle w:val="817"/>
        <w:ind w:firstLine="0"/>
        <w:jc w:val="both"/>
      </w:pPr>
      <w:r>
        <w:rPr>
          <w:sz w:val="20"/>
        </w:rPr>
      </w:r>
      <w:r>
        <w:rPr>
          <w:rFonts w:ascii="PT Serif" w:hAnsi="PT Serif" w:cs="PT Serif" w:eastAsia="PT Serif"/>
        </w:rPr>
        <w:t xml:space="preserve">место жительства</w:t>
      </w:r>
      <w:r>
        <w:t xml:space="preserve">: ______________________________________________________________, </w:t>
      </w:r>
      <w:r/>
    </w:p>
    <w:p>
      <w:pPr>
        <w:pStyle w:val="817"/>
        <w:ind w:firstLine="0"/>
        <w:jc w:val="both"/>
      </w:pPr>
      <w:r>
        <w:rPr>
          <w:rFonts w:ascii="PT Serif" w:hAnsi="PT Serif" w:cs="PT Serif" w:eastAsia="PT Serif"/>
          <w:sz w:val="24"/>
        </w:rPr>
        <w:t xml:space="preserve">документ,</w:t>
      </w:r>
      <w:r>
        <w:rPr>
          <w:rFonts w:ascii="PT Serif" w:hAnsi="PT Serif" w:cs="PT Serif" w:eastAsia="PT Serif"/>
          <w:sz w:val="24"/>
        </w:rPr>
        <w:t xml:space="preserve"> удостоверяющий личность</w:t>
      </w:r>
      <w:r>
        <w:t xml:space="preserve">: ___________________________________________,  </w:t>
      </w:r>
      <w:r/>
    </w:p>
    <w:p>
      <w:pPr>
        <w:pStyle w:val="817"/>
        <w:ind w:firstLine="0"/>
        <w:jc w:val="center"/>
      </w:pPr>
      <w:r>
        <w:rPr>
          <w:sz w:val="20"/>
        </w:rPr>
        <w:t xml:space="preserve">_______________________________________________________________________________________________  (паспорт: серия, номер, дата выдачи, кем выдан </w:t>
      </w:r>
      <w:r/>
    </w:p>
    <w:p>
      <w:pPr>
        <w:pStyle w:val="817"/>
        <w:contextualSpacing w:val="true"/>
        <w:ind w:firstLine="0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даю свое согласие на обработку (включая сбор, систематизацию, накопление, </w:t>
      </w:r>
      <w:r>
        <w:rPr>
          <w:rFonts w:ascii="PT Serif" w:hAnsi="PT Serif" w:cs="PT Serif" w:eastAsia="PT Serif"/>
        </w:rPr>
        <w:t xml:space="preserve">хранение,</w:t>
      </w:r>
      <w:r>
        <w:rPr>
          <w:rFonts w:ascii="PT Serif" w:hAnsi="PT Serif" w:cs="PT Serif" w:eastAsia="PT Serif"/>
        </w:rPr>
        <w:t xml:space="preserve"> уточнение (обновление, изменение), использование, распространение        (в том числе передачу), обезличивание, блокирование, уничтожение) моих персональных данных: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фамилия, имя, отчество;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дата рождения;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место рождения;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паспортные данные;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образование;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гражданств</w:t>
      </w:r>
      <w:r>
        <w:rPr>
          <w:rFonts w:ascii="PT Serif" w:hAnsi="PT Serif" w:cs="PT Serif" w:eastAsia="PT Serif"/>
        </w:rPr>
        <w:t xml:space="preserve">о;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адрес места жительства;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сведения о наличии (отсутствии) судимости и (или) факта уголовного преследования либо о прекращении уголовного преследования.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Настоящее согласие действует бессрочно. </w:t>
      </w:r>
      <w:r/>
    </w:p>
    <w:p>
      <w:pPr>
        <w:pStyle w:val="817"/>
        <w:contextualSpacing w:val="true"/>
        <w:ind w:firstLine="708"/>
        <w:jc w:val="both"/>
        <w:spacing w:lineRule="auto" w:line="240" w:after="0" w:before="0"/>
        <w:rPr>
          <w:rFonts w:ascii="PT Serif" w:hAnsi="PT Serif" w:cs="PT Serif" w:eastAsia="PT Serif"/>
        </w:rPr>
        <w:suppressLineNumbers w:val="0"/>
      </w:pPr>
      <w:r>
        <w:rPr>
          <w:rFonts w:ascii="PT Serif" w:hAnsi="PT Serif" w:cs="PT Serif" w:eastAsia="PT Serif"/>
        </w:rPr>
        <w:t xml:space="preserve">Отзыв согласия на обработку персональных данных осуществляется </w:t>
      </w:r>
      <w:r>
        <w:rPr>
          <w:rFonts w:ascii="PT Serif" w:hAnsi="PT Serif" w:cs="PT Serif" w:eastAsia="PT Serif"/>
        </w:rPr>
        <w:t xml:space="preserve">на основании письменного заявления субъекта персональных данных, направленного в адрес оператора. </w:t>
      </w:r>
      <w:r>
        <w:rPr>
          <w:rFonts w:ascii="PT Serif" w:hAnsi="PT Serif" w:cs="PT Serif" w:eastAsia="PT Serif"/>
        </w:rPr>
      </w:r>
      <w:r/>
    </w:p>
    <w:p>
      <w:pPr>
        <w:pStyle w:val="817"/>
        <w:ind w:firstLine="0"/>
        <w:jc w:val="center"/>
      </w:pPr>
      <w:r>
        <w:t xml:space="preserve">__________________           ___________________                  _____________________</w:t>
      </w:r>
      <w:r/>
    </w:p>
    <w:p>
      <w:pPr>
        <w:pStyle w:val="817"/>
        <w:contextualSpacing w:val="true"/>
        <w:ind w:firstLine="0"/>
        <w:jc w:val="left"/>
        <w:spacing w:lineRule="auto" w:line="240" w:after="0" w:before="57"/>
        <w:rPr>
          <w:sz w:val="20"/>
        </w:rPr>
        <w:suppressLineNumbers w:val="0"/>
      </w:pPr>
      <w:r>
        <w:t xml:space="preserve">                      (</w:t>
      </w:r>
      <w:r>
        <w:rPr>
          <w:sz w:val="20"/>
        </w:rPr>
        <w:t xml:space="preserve">дата)                                               (подпись)                                               (расшифровка) </w:t>
      </w:r>
      <w:r>
        <w:rPr>
          <w:sz w:val="20"/>
        </w:rPr>
      </w:r>
      <w:r/>
    </w:p>
    <w:p>
      <w:pPr>
        <w:pStyle w:val="817"/>
        <w:ind w:firstLine="708"/>
        <w:jc w:val="both"/>
        <w:rPr>
          <w:rFonts w:ascii="PT Serif" w:hAnsi="PT Serif" w:cs="PT Serif" w:eastAsia="PT Serif"/>
        </w:rPr>
      </w:pPr>
      <w:r>
        <w:rPr>
          <w:rFonts w:ascii="PT Serif" w:hAnsi="PT Serif" w:cs="PT Serif" w:eastAsia="PT Serif"/>
        </w:rPr>
        <w:t xml:space="preserve">Подтверждаю, что ознакомлен(а) с Федеральным законом от 27 июля  2006 </w:t>
      </w:r>
      <w:r>
        <w:rPr>
          <w:rFonts w:ascii="PT Serif" w:hAnsi="PT Serif" w:cs="PT Serif" w:eastAsia="PT Serif"/>
        </w:rPr>
        <w:t xml:space="preserve">года № 152-ФЗ «О персональных данных», права и обязанности в области защиты персональных данных мне разъяснены. </w:t>
      </w:r>
      <w:r>
        <w:rPr>
          <w:rFonts w:ascii="PT Serif" w:hAnsi="PT Serif" w:cs="PT Serif" w:eastAsia="PT Serif"/>
        </w:rPr>
      </w:r>
      <w:r/>
    </w:p>
    <w:p>
      <w:pPr>
        <w:pStyle w:val="817"/>
        <w:ind w:firstLine="0"/>
        <w:jc w:val="center"/>
      </w:pPr>
      <w:r>
        <w:t xml:space="preserve">__________________           ___________________                  _____________________</w:t>
      </w:r>
      <w:r/>
    </w:p>
    <w:p>
      <w:pPr>
        <w:pStyle w:val="817"/>
        <w:contextualSpacing w:val="true"/>
        <w:ind w:firstLine="0"/>
        <w:jc w:val="left"/>
        <w:spacing w:lineRule="auto" w:line="240" w:after="0" w:before="57"/>
        <w:suppressLineNumbers w:val="0"/>
      </w:pPr>
      <w:r>
        <w:t xml:space="preserve">                      (</w:t>
      </w:r>
      <w:r>
        <w:rPr>
          <w:sz w:val="20"/>
        </w:rPr>
        <w:t xml:space="preserve">дата)                                               (подпись)                                               (расшифровка) </w:t>
      </w:r>
      <w:r>
        <w:rPr>
          <w:sz w:val="20"/>
        </w:rPr>
      </w:r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PT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."/>
  <w:listSeparator w:val=","/>
  <w:compat>
    <w:compatSetting w:name="compatibilityMode" w:uri="http://schemas.microsoft.com/office/word" w:val="16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0"/>
    <w:next w:val="810"/>
    <w:link w:val="63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35">
    <w:name w:val="Heading 1 Char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0"/>
    <w:next w:val="810"/>
    <w:link w:val="63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37">
    <w:name w:val="Heading 2 Char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0"/>
    <w:next w:val="810"/>
    <w:link w:val="63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39">
    <w:name w:val="Heading 3 Char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0"/>
    <w:next w:val="810"/>
    <w:link w:val="64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41">
    <w:name w:val="Heading 4 Char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0"/>
    <w:next w:val="810"/>
    <w:link w:val="64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43">
    <w:name w:val="Heading 5 Char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0"/>
    <w:next w:val="810"/>
    <w:link w:val="64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45">
    <w:name w:val="Heading 6 Char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0"/>
    <w:next w:val="810"/>
    <w:link w:val="64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47">
    <w:name w:val="Heading 7 Char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0"/>
    <w:next w:val="810"/>
    <w:link w:val="64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49">
    <w:name w:val="Heading 8 Char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0"/>
    <w:next w:val="810"/>
    <w:link w:val="65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1">
    <w:name w:val="Heading 9 Char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Title"/>
    <w:basedOn w:val="810"/>
    <w:next w:val="810"/>
    <w:link w:val="65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53">
    <w:name w:val="Title Char"/>
    <w:link w:val="652"/>
    <w:uiPriority w:val="10"/>
    <w:rPr>
      <w:sz w:val="48"/>
      <w:szCs w:val="48"/>
    </w:rPr>
  </w:style>
  <w:style w:type="paragraph" w:styleId="654">
    <w:name w:val="Subtitle"/>
    <w:basedOn w:val="810"/>
    <w:next w:val="810"/>
    <w:link w:val="655"/>
    <w:qFormat/>
    <w:uiPriority w:val="11"/>
    <w:rPr>
      <w:sz w:val="24"/>
      <w:szCs w:val="24"/>
    </w:rPr>
    <w:pPr>
      <w:spacing w:after="200" w:before="200"/>
    </w:pPr>
  </w:style>
  <w:style w:type="character" w:styleId="655">
    <w:name w:val="Subtitle Char"/>
    <w:link w:val="654"/>
    <w:uiPriority w:val="11"/>
    <w:rPr>
      <w:sz w:val="24"/>
      <w:szCs w:val="24"/>
    </w:rPr>
  </w:style>
  <w:style w:type="paragraph" w:styleId="656">
    <w:name w:val="Quote"/>
    <w:basedOn w:val="810"/>
    <w:next w:val="810"/>
    <w:link w:val="657"/>
    <w:qFormat/>
    <w:uiPriority w:val="29"/>
    <w:rPr>
      <w:i/>
    </w:rPr>
    <w:pPr>
      <w:ind w:left="720" w:right="720"/>
    </w:pPr>
  </w:style>
  <w:style w:type="character" w:styleId="657">
    <w:name w:val="Quote Char"/>
    <w:link w:val="656"/>
    <w:uiPriority w:val="29"/>
    <w:rPr>
      <w:i/>
    </w:rPr>
  </w:style>
  <w:style w:type="paragraph" w:styleId="658">
    <w:name w:val="Intense Quote"/>
    <w:basedOn w:val="810"/>
    <w:next w:val="810"/>
    <w:link w:val="65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59">
    <w:name w:val="Intense Quote Char"/>
    <w:link w:val="658"/>
    <w:uiPriority w:val="30"/>
    <w:rPr>
      <w:i/>
    </w:rPr>
  </w:style>
  <w:style w:type="paragraph" w:styleId="660">
    <w:name w:val="Header"/>
    <w:basedOn w:val="810"/>
    <w:link w:val="66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1">
    <w:name w:val="Header Char"/>
    <w:link w:val="660"/>
    <w:uiPriority w:val="99"/>
  </w:style>
  <w:style w:type="paragraph" w:styleId="662">
    <w:name w:val="Footer"/>
    <w:basedOn w:val="810"/>
    <w:link w:val="66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3">
    <w:name w:val="Footer Char"/>
    <w:link w:val="662"/>
    <w:uiPriority w:val="99"/>
  </w:style>
  <w:style w:type="paragraph" w:styleId="664">
    <w:name w:val="Caption"/>
    <w:basedOn w:val="810"/>
    <w:next w:val="81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65">
    <w:name w:val="Caption Char"/>
    <w:basedOn w:val="664"/>
    <w:link w:val="662"/>
    <w:uiPriority w:val="99"/>
  </w:style>
  <w:style w:type="table" w:styleId="666">
    <w:name w:val="Table Grid"/>
    <w:basedOn w:val="81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5">
    <w:name w:val="Grid Table 4 - Accent 1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696">
    <w:name w:val="Grid Table 4 - Accent 2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697">
    <w:name w:val="Grid Table 4 - Accent 3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698">
    <w:name w:val="Grid Table 4 - Accent 4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699">
    <w:name w:val="Grid Table 4 - Accent 5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00">
    <w:name w:val="Grid Table 4 - Accent 6"/>
    <w:basedOn w:val="8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01">
    <w:name w:val="Grid Table 5 Dark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02">
    <w:name w:val="Grid Table 5 Dark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03">
    <w:name w:val="Grid Table 5 Dark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04">
    <w:name w:val="Grid Table 5 Dark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05">
    <w:name w:val="Grid Table 5 Dark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06">
    <w:name w:val="Grid Table 5 Dark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07">
    <w:name w:val="Grid Table 5 Dark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08">
    <w:name w:val="Grid Table 6 Colorful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30">
    <w:name w:val="List Table 2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31">
    <w:name w:val="List Table 2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32">
    <w:name w:val="List Table 2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33">
    <w:name w:val="List Table 2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34">
    <w:name w:val="List Table 2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35">
    <w:name w:val="List Table 2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36">
    <w:name w:val="List Table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58">
    <w:name w:val="List Table 6 Colorful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59">
    <w:name w:val="List Table 6 Colorful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60">
    <w:name w:val="List Table 6 Colorful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61">
    <w:name w:val="List Table 6 Colorful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62">
    <w:name w:val="List Table 6 Colorful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63">
    <w:name w:val="List Table 6 Colorful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64">
    <w:name w:val="List Table 7 Colorful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72">
    <w:name w:val="Lined - Accent 1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73">
    <w:name w:val="Lined - Accent 2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74">
    <w:name w:val="Lined - Accent 3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75">
    <w:name w:val="Lined - Accent 4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76">
    <w:name w:val="Lined - Accent 5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77">
    <w:name w:val="Lined - Accent 6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78">
    <w:name w:val="Bordered &amp; Lined - Accent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79">
    <w:name w:val="Bordered &amp; Lined - Accent 1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0">
    <w:name w:val="Bordered &amp; Lined - Accent 2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1">
    <w:name w:val="Bordered &amp; Lined - Accent 3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2">
    <w:name w:val="Bordered &amp; Lined - Accent 4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83">
    <w:name w:val="Bordered &amp; Lined - Accent 5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84">
    <w:name w:val="Bordered &amp; Lined - Accent 6"/>
    <w:basedOn w:val="8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85">
    <w:name w:val="Bordered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86">
    <w:name w:val="Bordered - Accent 1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87">
    <w:name w:val="Bordered - Accent 2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88">
    <w:name w:val="Bordered - Accent 3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89">
    <w:name w:val="Bordered - Accent 4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790">
    <w:name w:val="Bordered - Accent 5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791">
    <w:name w:val="Bordered - Accent 6"/>
    <w:basedOn w:val="8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792">
    <w:name w:val="Hyperlink"/>
    <w:uiPriority w:val="99"/>
    <w:unhideWhenUsed/>
    <w:rPr>
      <w:color w:val="0000FF" w:themeColor="hyperlink"/>
      <w:u w:val="single"/>
    </w:rPr>
  </w:style>
  <w:style w:type="paragraph" w:styleId="793">
    <w:name w:val="footnote text"/>
    <w:basedOn w:val="810"/>
    <w:link w:val="794"/>
    <w:uiPriority w:val="99"/>
    <w:semiHidden/>
    <w:unhideWhenUsed/>
    <w:rPr>
      <w:sz w:val="18"/>
    </w:rPr>
    <w:pPr>
      <w:spacing w:lineRule="auto" w:line="240" w:after="40"/>
    </w:pPr>
  </w:style>
  <w:style w:type="character" w:styleId="794">
    <w:name w:val="Footnote Text Char"/>
    <w:link w:val="793"/>
    <w:uiPriority w:val="99"/>
    <w:rPr>
      <w:sz w:val="18"/>
    </w:rPr>
  </w:style>
  <w:style w:type="character" w:styleId="795">
    <w:name w:val="footnote reference"/>
    <w:uiPriority w:val="99"/>
    <w:unhideWhenUsed/>
    <w:rPr>
      <w:vertAlign w:val="superscript"/>
    </w:rPr>
  </w:style>
  <w:style w:type="paragraph" w:styleId="796">
    <w:name w:val="endnote text"/>
    <w:basedOn w:val="810"/>
    <w:link w:val="797"/>
    <w:uiPriority w:val="99"/>
    <w:semiHidden/>
    <w:unhideWhenUsed/>
    <w:rPr>
      <w:sz w:val="20"/>
    </w:rPr>
    <w:pPr>
      <w:spacing w:lineRule="auto" w:line="240" w:after="0"/>
    </w:pPr>
  </w:style>
  <w:style w:type="character" w:styleId="797">
    <w:name w:val="Endnote Text Char"/>
    <w:link w:val="796"/>
    <w:uiPriority w:val="99"/>
    <w:rPr>
      <w:sz w:val="20"/>
    </w:rPr>
  </w:style>
  <w:style w:type="character" w:styleId="798">
    <w:name w:val="endnote reference"/>
    <w:uiPriority w:val="99"/>
    <w:semiHidden/>
    <w:unhideWhenUsed/>
    <w:rPr>
      <w:vertAlign w:val="superscript"/>
    </w:rPr>
  </w:style>
  <w:style w:type="paragraph" w:styleId="799">
    <w:name w:val="toc 1"/>
    <w:basedOn w:val="810"/>
    <w:next w:val="810"/>
    <w:uiPriority w:val="39"/>
    <w:unhideWhenUsed/>
    <w:pPr>
      <w:ind w:left="0" w:right="0" w:firstLine="0"/>
      <w:spacing w:after="57"/>
    </w:pPr>
  </w:style>
  <w:style w:type="paragraph" w:styleId="800">
    <w:name w:val="toc 2"/>
    <w:basedOn w:val="810"/>
    <w:next w:val="810"/>
    <w:uiPriority w:val="39"/>
    <w:unhideWhenUsed/>
    <w:pPr>
      <w:ind w:left="283" w:right="0" w:firstLine="0"/>
      <w:spacing w:after="57"/>
    </w:pPr>
  </w:style>
  <w:style w:type="paragraph" w:styleId="801">
    <w:name w:val="toc 3"/>
    <w:basedOn w:val="810"/>
    <w:next w:val="810"/>
    <w:uiPriority w:val="39"/>
    <w:unhideWhenUsed/>
    <w:pPr>
      <w:ind w:left="567" w:right="0" w:firstLine="0"/>
      <w:spacing w:after="57"/>
    </w:pPr>
  </w:style>
  <w:style w:type="paragraph" w:styleId="802">
    <w:name w:val="toc 4"/>
    <w:basedOn w:val="810"/>
    <w:next w:val="810"/>
    <w:uiPriority w:val="39"/>
    <w:unhideWhenUsed/>
    <w:pPr>
      <w:ind w:left="850" w:right="0" w:firstLine="0"/>
      <w:spacing w:after="57"/>
    </w:pPr>
  </w:style>
  <w:style w:type="paragraph" w:styleId="803">
    <w:name w:val="toc 5"/>
    <w:basedOn w:val="810"/>
    <w:next w:val="810"/>
    <w:uiPriority w:val="39"/>
    <w:unhideWhenUsed/>
    <w:pPr>
      <w:ind w:left="1134" w:right="0" w:firstLine="0"/>
      <w:spacing w:after="57"/>
    </w:pPr>
  </w:style>
  <w:style w:type="paragraph" w:styleId="804">
    <w:name w:val="toc 6"/>
    <w:basedOn w:val="810"/>
    <w:next w:val="810"/>
    <w:uiPriority w:val="39"/>
    <w:unhideWhenUsed/>
    <w:pPr>
      <w:ind w:left="1417" w:right="0" w:firstLine="0"/>
      <w:spacing w:after="57"/>
    </w:pPr>
  </w:style>
  <w:style w:type="paragraph" w:styleId="805">
    <w:name w:val="toc 7"/>
    <w:basedOn w:val="810"/>
    <w:next w:val="810"/>
    <w:uiPriority w:val="39"/>
    <w:unhideWhenUsed/>
    <w:pPr>
      <w:ind w:left="1701" w:right="0" w:firstLine="0"/>
      <w:spacing w:after="57"/>
    </w:pPr>
  </w:style>
  <w:style w:type="paragraph" w:styleId="806">
    <w:name w:val="toc 8"/>
    <w:basedOn w:val="810"/>
    <w:next w:val="810"/>
    <w:uiPriority w:val="39"/>
    <w:unhideWhenUsed/>
    <w:pPr>
      <w:ind w:left="1984" w:right="0" w:firstLine="0"/>
      <w:spacing w:after="57"/>
    </w:pPr>
  </w:style>
  <w:style w:type="paragraph" w:styleId="807">
    <w:name w:val="toc 9"/>
    <w:basedOn w:val="810"/>
    <w:next w:val="810"/>
    <w:uiPriority w:val="39"/>
    <w:unhideWhenUsed/>
    <w:pPr>
      <w:ind w:left="2268" w:right="0" w:firstLine="0"/>
      <w:spacing w:after="57"/>
    </w:pPr>
  </w:style>
  <w:style w:type="paragraph" w:styleId="808">
    <w:name w:val="TOC Heading"/>
    <w:uiPriority w:val="39"/>
    <w:unhideWhenUsed/>
  </w:style>
  <w:style w:type="paragraph" w:styleId="809">
    <w:name w:val="table of figures"/>
    <w:basedOn w:val="810"/>
    <w:next w:val="810"/>
    <w:uiPriority w:val="99"/>
    <w:unhideWhenUsed/>
    <w:pPr>
      <w:spacing w:after="0" w:afterAutospacing="0"/>
    </w:pPr>
  </w:style>
  <w:style w:type="paragraph" w:styleId="810" w:default="1">
    <w:name w:val="Normal"/>
    <w:qFormat/>
    <w:rPr>
      <w:rFonts w:ascii="PT Serif" w:hAnsi="PT Serif" w:cs="PT Serif" w:eastAsia="PT Serif"/>
      <w:sz w:val="24"/>
    </w:rPr>
    <w:pPr>
      <w:contextualSpacing w:val="true"/>
      <w:ind w:firstLine="708"/>
      <w:jc w:val="both"/>
      <w:spacing w:lineRule="auto" w:line="240" w:after="0" w:before="0"/>
      <w:suppressLineNumbers w:val="0"/>
    </w:pPr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paragraph" w:styleId="813">
    <w:name w:val="No Spacing"/>
    <w:basedOn w:val="810"/>
    <w:qFormat/>
    <w:uiPriority w:val="1"/>
    <w:pPr>
      <w:spacing w:lineRule="auto" w:line="240" w:after="0"/>
    </w:pPr>
  </w:style>
  <w:style w:type="paragraph" w:styleId="814">
    <w:name w:val="List Paragraph"/>
    <w:basedOn w:val="810"/>
    <w:qFormat/>
    <w:uiPriority w:val="34"/>
    <w:pPr>
      <w:contextualSpacing w:val="true"/>
      <w:ind w:left="720"/>
    </w:pPr>
  </w:style>
  <w:style w:type="character" w:styleId="815" w:default="1">
    <w:name w:val="Default Paragraph Font"/>
    <w:uiPriority w:val="1"/>
    <w:semiHidden/>
    <w:unhideWhenUsed/>
  </w:style>
  <w:style w:type="paragraph" w:styleId="816" w:customStyle="1">
    <w:name w:val="ConsPlusTitle"/>
    <w:rPr>
      <w:rFonts w:ascii="Arial" w:hAnsi="Arial" w:cs="Arial" w:eastAsia="Times New Roman"/>
      <w:b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17" w:customStyle="1">
    <w:name w:val="ConsPlusNormal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540"/>
      <w:jc w:val="both"/>
      <w:keepLines w:val="false"/>
      <w:keepNext w:val="false"/>
      <w:pageBreakBefore w:val="false"/>
      <w:spacing w:lineRule="auto" w:line="240" w:after="0" w:afterAutospacing="0" w:before="240" w:beforeAutospacing="0"/>
      <w:shd w:val="nil" w:color="000000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18" w:customStyle="1">
    <w:name w:val="Основной текст2"/>
    <w:basedOn w:val="770"/>
    <w:qFormat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7"/>
      <w:szCs w:val="27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both"/>
      <w:keepLines w:val="false"/>
      <w:keepNext w:val="false"/>
      <w:pageBreakBefore w:val="false"/>
      <w:spacing w:lineRule="exact" w:line="322" w:after="300" w:afterAutospacing="0" w:before="0" w:beforeAutospacing="0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19" w:customStyle="1">
    <w:name w:val="Основной текст (2)"/>
    <w:basedOn w:val="770"/>
    <w:qFormat/>
    <w:rPr>
      <w:rFonts w:ascii="Times New Roman" w:hAnsi="Times New Roman" w:cs="Times New Roman" w:eastAsia="Times New Roman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7"/>
      <w:szCs w:val="27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tLeast" w:line="0" w:after="420" w:afterAutospacing="0" w:before="0" w:beforeAutospacing="0"/>
      <w:shd w:val="clear" w:fill="FFFFFF" w:color="auto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table" w:styleId="820" w:customStyle="1">
    <w:name w:val="Table Normal"/>
    <w:qFormat/>
    <w:uiPriority w:val="2"/>
    <w:semiHidden/>
    <w:unhideWhenUsed/>
    <w:rPr>
      <w:rFonts w:ascii="Calibri" w:hAnsi="Calibri" w:cs="Calibri" w:eastAsia="Calibri" w:hint="default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  <w:tblPr>
      <w:tblStyleRowBandSize w:val="1"/>
      <w:tblStyleColBandSize w:val="1"/>
      <w:tblW w:w="0" w:type="auto"/>
      <w:tblInd w:w="0" w:type="dxa"/>
      <w:tblBorders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insideV w:val="none" w:color="000000" w:sz="4" w:space="0"/>
        <w:insideH w:val="none" w:color="000000" w:sz="4" w:space="0"/>
      </w:tblBorders>
      <w:tblLayout w:type="autofit"/>
      <w:tblCellMar>
        <w:left w:w="0" w:type="dxa"/>
        <w:top w:w="0" w:type="dxa"/>
        <w:right w:w="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paragraph" w:styleId="821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https://login.consultant.ru/link/?req=doc&amp;base=LAW&amp;n=523230&amp;date=20.05.2026" TargetMode="External"/><Relationship Id="rId11" Type="http://schemas.openxmlformats.org/officeDocument/2006/relationships/hyperlink" Target="https://login.consultant.ru/link/?req=doc&amp;base=RLAW404&amp;n=107910&amp;date=20.05.2026" TargetMode="External"/><Relationship Id="rId12" Type="http://schemas.openxmlformats.org/officeDocument/2006/relationships/hyperlink" Target="https://login.consultant.ru/link/?req=doc&amp;base=LAW&amp;n=2875&amp;date=20.05.2026" TargetMode="External"/><Relationship Id="rId13" Type="http://schemas.openxmlformats.org/officeDocument/2006/relationships/hyperlink" Target="https://login.consultant.ru/link/?req=doc&amp;base=LAW&amp;n=501480&amp;date=20.05.2026" TargetMode="External"/><Relationship Id="rId14" Type="http://schemas.openxmlformats.org/officeDocument/2006/relationships/hyperlink" Target="https://login.consultant.ru/link/?req=doc&amp;base=LAW&amp;n=523230&amp;date=20.05.2026" TargetMode="External"/><Relationship Id="rId15" Type="http://schemas.openxmlformats.org/officeDocument/2006/relationships/hyperlink" Target="https://login.consultant.ru/link/?req=doc&amp;base=LAW&amp;n=415655&amp;date=20.05.2026&amp;dst=100041&amp;field=134" TargetMode="External"/><Relationship Id="rId16" Type="http://schemas.openxmlformats.org/officeDocument/2006/relationships/hyperlink" Target="https://login.consultant.ru/link/?req=doc&amp;base=LAW&amp;n=523230&amp;date=20.05.2026&amp;dst=29&amp;field=134" TargetMode="External"/><Relationship Id="rId17" Type="http://schemas.openxmlformats.org/officeDocument/2006/relationships/hyperlink" Target="https://login.consultant.ru/link/?req=doc&amp;base=LAW&amp;n=523230&amp;date=20.05.2026" TargetMode="External"/><Relationship Id="rId18" Type="http://schemas.openxmlformats.org/officeDocument/2006/relationships/hyperlink" Target="https://login.consultant.ru/link/?req=doc&amp;base=LAW&amp;n=523230&amp;date=20.05.2026" TargetMode="External"/><Relationship Id="rId19" Type="http://schemas.openxmlformats.org/officeDocument/2006/relationships/hyperlink" Target="https://login.consultant.ru/link/?req=doc&amp;base=RLAW404&amp;n=107910&amp;date=20.05.2026&amp;dst=100021&amp;field=134" TargetMode="External"/><Relationship Id="rId20" Type="http://schemas.openxmlformats.org/officeDocument/2006/relationships/hyperlink" Target="https://login.consultant.ru/link/?req=doc&amp;base=LAW&amp;n=523230&amp;date=20.05.2026" TargetMode="External"/><Relationship Id="rId21" Type="http://schemas.openxmlformats.org/officeDocument/2006/relationships/hyperlink" Target="https://login.consultant.ru/link/?req=doc&amp;base=LAW&amp;n=523230&amp;date=20.05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9</cp:revision>
  <dcterms:modified xsi:type="dcterms:W3CDTF">2026-05-26T08:01:22Z</dcterms:modified>
</cp:coreProperties>
</file>